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D1519" w14:textId="77C97CF7" w:rsidR="009305B2" w:rsidRDefault="009305B2" w:rsidP="00467B7C">
      <w:pPr>
        <w:spacing w:after="0"/>
        <w:jc w:val="center"/>
        <w:rPr>
          <w:b/>
          <w:bCs/>
        </w:rPr>
      </w:pPr>
    </w:p>
    <w:p w14:paraId="7A7576A6" w14:textId="0AC8DAC3" w:rsidR="00923720" w:rsidRDefault="00923720" w:rsidP="00467B7C">
      <w:pPr>
        <w:spacing w:after="0"/>
        <w:jc w:val="center"/>
        <w:rPr>
          <w:b/>
          <w:bCs/>
          <w:sz w:val="36"/>
          <w:szCs w:val="36"/>
        </w:rPr>
      </w:pPr>
      <w:r w:rsidRPr="00467B7C">
        <w:rPr>
          <w:b/>
          <w:bCs/>
          <w:sz w:val="36"/>
          <w:szCs w:val="36"/>
        </w:rPr>
        <w:t>Call for Expression of Interest: Institutional Audit of Amani South Sudan</w:t>
      </w:r>
    </w:p>
    <w:p w14:paraId="5F0179D5" w14:textId="77777777" w:rsidR="00467B7C" w:rsidRPr="00467B7C" w:rsidRDefault="00467B7C" w:rsidP="00467B7C">
      <w:pPr>
        <w:spacing w:after="0"/>
        <w:jc w:val="center"/>
        <w:rPr>
          <w:b/>
          <w:bCs/>
          <w:sz w:val="36"/>
          <w:szCs w:val="36"/>
        </w:rPr>
      </w:pPr>
    </w:p>
    <w:p w14:paraId="40A96086" w14:textId="77777777" w:rsidR="00467B7C" w:rsidRPr="00467B7C" w:rsidRDefault="00923720" w:rsidP="00467B7C">
      <w:pPr>
        <w:spacing w:after="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About Amani South Sudan</w:t>
      </w:r>
    </w:p>
    <w:p w14:paraId="0755A795" w14:textId="3F2673E9" w:rsidR="00923720" w:rsidRDefault="00923720" w:rsidP="00467B7C">
      <w:pPr>
        <w:spacing w:before="120" w:after="0"/>
        <w:jc w:val="both"/>
      </w:pPr>
      <w:r w:rsidRPr="00923720">
        <w:t xml:space="preserve">Amani South Sudan is a </w:t>
      </w:r>
      <w:r w:rsidR="00467B7C">
        <w:t xml:space="preserve">women and youth-led national </w:t>
      </w:r>
      <w:r w:rsidRPr="00923720">
        <w:t>non-profit organization committed to promoting peace, reconciliation, social cohesion,</w:t>
      </w:r>
      <w:r w:rsidR="00467B7C">
        <w:t xml:space="preserve"> resilient</w:t>
      </w:r>
      <w:r w:rsidR="002633D5">
        <w:t>, emergency,</w:t>
      </w:r>
      <w:r w:rsidRPr="00923720">
        <w:t xml:space="preserve"> and sustainable development within communities across South Sudan. We work through partnerships, advocacy, and grassroots engagement to empower communities, strengthen institutions, and build pathways to long-term peace and stability.</w:t>
      </w:r>
    </w:p>
    <w:p w14:paraId="18D6BCB2" w14:textId="77777777" w:rsidR="00467B7C" w:rsidRPr="00923720" w:rsidRDefault="00467B7C" w:rsidP="00467B7C">
      <w:pPr>
        <w:spacing w:after="0"/>
      </w:pPr>
    </w:p>
    <w:p w14:paraId="2B4CFA62" w14:textId="77777777" w:rsidR="00467B7C" w:rsidRPr="00467B7C" w:rsidRDefault="00923720" w:rsidP="00467B7C">
      <w:pPr>
        <w:spacing w:after="12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Purpose of the Audit</w:t>
      </w:r>
    </w:p>
    <w:p w14:paraId="7C0ABA8B" w14:textId="4B80E7E4" w:rsidR="00923720" w:rsidRDefault="00923720" w:rsidP="00467B7C">
      <w:pPr>
        <w:spacing w:after="0"/>
        <w:jc w:val="both"/>
      </w:pPr>
      <w:r w:rsidRPr="00923720">
        <w:t xml:space="preserve">In line with our commitment to accountability, transparency, and good governance, Amani South Sudan is seeking the services of a qualified, reputable, and independent audit firm to conduct a comprehensive </w:t>
      </w:r>
      <w:r w:rsidRPr="00923720">
        <w:rPr>
          <w:b/>
          <w:bCs/>
        </w:rPr>
        <w:t>Institutional Audit</w:t>
      </w:r>
      <w:r w:rsidRPr="00923720">
        <w:t>. The audit will assess the organization’s internal systems, policies, structures, and practices to ensure alignment with international best practices, donor requirements, and national regulations.</w:t>
      </w:r>
    </w:p>
    <w:p w14:paraId="792DAC9F" w14:textId="77777777" w:rsidR="00467B7C" w:rsidRPr="00923720" w:rsidRDefault="00467B7C" w:rsidP="00467B7C">
      <w:pPr>
        <w:spacing w:after="0"/>
        <w:jc w:val="both"/>
      </w:pPr>
    </w:p>
    <w:p w14:paraId="73A196F7" w14:textId="77777777" w:rsidR="00467B7C" w:rsidRPr="00467B7C" w:rsidRDefault="00923720" w:rsidP="00467B7C">
      <w:pPr>
        <w:spacing w:after="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Scope of Work</w:t>
      </w:r>
    </w:p>
    <w:p w14:paraId="42A36846" w14:textId="1EDF3283" w:rsidR="00923720" w:rsidRPr="00923720" w:rsidRDefault="00923720" w:rsidP="00467B7C">
      <w:pPr>
        <w:spacing w:before="120" w:after="120"/>
      </w:pPr>
      <w:r w:rsidRPr="00923720">
        <w:t>The Institutional Audit is expected to cover, but not be limited to, the following areas:</w:t>
      </w:r>
    </w:p>
    <w:p w14:paraId="11E40FFD" w14:textId="77777777" w:rsidR="00923720" w:rsidRPr="00923720" w:rsidRDefault="00923720" w:rsidP="00467B7C">
      <w:pPr>
        <w:numPr>
          <w:ilvl w:val="0"/>
          <w:numId w:val="1"/>
        </w:numPr>
        <w:spacing w:after="120"/>
      </w:pPr>
      <w:r w:rsidRPr="00923720">
        <w:rPr>
          <w:b/>
          <w:bCs/>
        </w:rPr>
        <w:t>Governance &amp; Leadership:</w:t>
      </w:r>
      <w:r w:rsidRPr="00923720">
        <w:t xml:space="preserve"> Review of governance structures, leadership effectiveness, and decision-making processes.</w:t>
      </w:r>
    </w:p>
    <w:p w14:paraId="7546061E" w14:textId="77777777" w:rsidR="00923720" w:rsidRPr="00923720" w:rsidRDefault="00923720" w:rsidP="00467B7C">
      <w:pPr>
        <w:numPr>
          <w:ilvl w:val="0"/>
          <w:numId w:val="1"/>
        </w:numPr>
        <w:spacing w:after="120"/>
      </w:pPr>
      <w:r w:rsidRPr="00923720">
        <w:rPr>
          <w:b/>
          <w:bCs/>
        </w:rPr>
        <w:t>Strategic &amp; Programmatic Capacity:</w:t>
      </w:r>
      <w:r w:rsidRPr="00923720">
        <w:t xml:space="preserve"> Assessment of organizational strategy, program management, monitoring, evaluation, and learning systems.</w:t>
      </w:r>
    </w:p>
    <w:p w14:paraId="1A65A95B" w14:textId="77777777" w:rsidR="00923720" w:rsidRPr="00923720" w:rsidRDefault="00923720" w:rsidP="00467B7C">
      <w:pPr>
        <w:numPr>
          <w:ilvl w:val="0"/>
          <w:numId w:val="1"/>
        </w:numPr>
        <w:spacing w:after="120"/>
      </w:pPr>
      <w:r w:rsidRPr="00923720">
        <w:rPr>
          <w:b/>
          <w:bCs/>
        </w:rPr>
        <w:t>Financial Management &amp; Internal Controls:</w:t>
      </w:r>
      <w:r w:rsidRPr="00923720">
        <w:t xml:space="preserve"> Examination of financial policies, procedures, risk management frameworks, and compliance with donor and statutory requirements.</w:t>
      </w:r>
    </w:p>
    <w:p w14:paraId="491ED6A8" w14:textId="77777777" w:rsidR="00923720" w:rsidRPr="00923720" w:rsidRDefault="00923720" w:rsidP="00467B7C">
      <w:pPr>
        <w:numPr>
          <w:ilvl w:val="0"/>
          <w:numId w:val="1"/>
        </w:numPr>
        <w:spacing w:after="120"/>
      </w:pPr>
      <w:r w:rsidRPr="00923720">
        <w:rPr>
          <w:b/>
          <w:bCs/>
        </w:rPr>
        <w:t>Human Resource Management:</w:t>
      </w:r>
      <w:r w:rsidRPr="00923720">
        <w:t xml:space="preserve"> Evaluation of HR policies, recruitment processes, staff development, and performance management systems.</w:t>
      </w:r>
    </w:p>
    <w:p w14:paraId="3F1DD9A0" w14:textId="77777777" w:rsidR="00923720" w:rsidRPr="00923720" w:rsidRDefault="00923720" w:rsidP="00467B7C">
      <w:pPr>
        <w:numPr>
          <w:ilvl w:val="0"/>
          <w:numId w:val="1"/>
        </w:numPr>
        <w:spacing w:after="120"/>
      </w:pPr>
      <w:r w:rsidRPr="00923720">
        <w:rPr>
          <w:b/>
          <w:bCs/>
        </w:rPr>
        <w:t>Operational Systems &amp; Assets:</w:t>
      </w:r>
      <w:r w:rsidRPr="00923720">
        <w:t xml:space="preserve"> Review of administrative procedures, procurement systems, logistics, and safeguarding of organizational assets.</w:t>
      </w:r>
    </w:p>
    <w:p w14:paraId="7732ACDB" w14:textId="77777777" w:rsidR="00923720" w:rsidRDefault="00923720" w:rsidP="00467B7C">
      <w:pPr>
        <w:numPr>
          <w:ilvl w:val="0"/>
          <w:numId w:val="1"/>
        </w:numPr>
        <w:spacing w:after="0"/>
      </w:pPr>
      <w:r w:rsidRPr="00923720">
        <w:rPr>
          <w:b/>
          <w:bCs/>
        </w:rPr>
        <w:lastRenderedPageBreak/>
        <w:t>Compliance &amp; Accountability:</w:t>
      </w:r>
      <w:r w:rsidRPr="00923720">
        <w:t xml:space="preserve"> Assessment of adherence to legal frameworks, donor requirements, and standards of transparency and accountability.</w:t>
      </w:r>
    </w:p>
    <w:p w14:paraId="3EDEFF4A" w14:textId="77777777" w:rsidR="00467B7C" w:rsidRPr="00923720" w:rsidRDefault="00467B7C" w:rsidP="00467B7C">
      <w:pPr>
        <w:spacing w:after="0"/>
        <w:ind w:left="720"/>
      </w:pPr>
    </w:p>
    <w:p w14:paraId="54E7A769" w14:textId="77777777" w:rsidR="00467B7C" w:rsidRPr="00467B7C" w:rsidRDefault="00923720" w:rsidP="00467B7C">
      <w:pPr>
        <w:spacing w:after="12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Deliverables</w:t>
      </w:r>
    </w:p>
    <w:p w14:paraId="6E1E56AD" w14:textId="41EDA535" w:rsidR="00923720" w:rsidRPr="00923720" w:rsidRDefault="00923720" w:rsidP="00467B7C">
      <w:pPr>
        <w:spacing w:after="120"/>
      </w:pPr>
      <w:r w:rsidRPr="00923720">
        <w:t>The successful audit firm will provide:</w:t>
      </w:r>
    </w:p>
    <w:p w14:paraId="1CF01446" w14:textId="77777777" w:rsidR="00923720" w:rsidRPr="00923720" w:rsidRDefault="00923720" w:rsidP="00467B7C">
      <w:pPr>
        <w:numPr>
          <w:ilvl w:val="0"/>
          <w:numId w:val="2"/>
        </w:numPr>
        <w:spacing w:after="120"/>
      </w:pPr>
      <w:r w:rsidRPr="00923720">
        <w:t xml:space="preserve">A comprehensive </w:t>
      </w:r>
      <w:r w:rsidRPr="00923720">
        <w:rPr>
          <w:b/>
          <w:bCs/>
        </w:rPr>
        <w:t>Institutional Audit Report</w:t>
      </w:r>
      <w:r w:rsidRPr="00923720">
        <w:t xml:space="preserve"> highlighting strengths, weaknesses, risks, and gaps.</w:t>
      </w:r>
    </w:p>
    <w:p w14:paraId="41468AC9" w14:textId="77777777" w:rsidR="00923720" w:rsidRPr="00923720" w:rsidRDefault="00923720" w:rsidP="00467B7C">
      <w:pPr>
        <w:numPr>
          <w:ilvl w:val="0"/>
          <w:numId w:val="2"/>
        </w:numPr>
        <w:spacing w:after="120"/>
      </w:pPr>
      <w:r w:rsidRPr="00923720">
        <w:t xml:space="preserve">Practical and actionable </w:t>
      </w:r>
      <w:r w:rsidRPr="00923720">
        <w:rPr>
          <w:b/>
          <w:bCs/>
        </w:rPr>
        <w:t>recommendations</w:t>
      </w:r>
      <w:r w:rsidRPr="00923720">
        <w:t xml:space="preserve"> for institutional strengthening.</w:t>
      </w:r>
    </w:p>
    <w:p w14:paraId="4A471431" w14:textId="77777777" w:rsidR="00923720" w:rsidRPr="00923720" w:rsidRDefault="00923720" w:rsidP="002C649C">
      <w:pPr>
        <w:numPr>
          <w:ilvl w:val="0"/>
          <w:numId w:val="2"/>
        </w:numPr>
        <w:spacing w:after="0"/>
      </w:pPr>
      <w:r w:rsidRPr="00923720">
        <w:t xml:space="preserve">An </w:t>
      </w:r>
      <w:r w:rsidRPr="00923720">
        <w:rPr>
          <w:b/>
          <w:bCs/>
        </w:rPr>
        <w:t>implementation roadmap</w:t>
      </w:r>
      <w:r w:rsidRPr="00923720">
        <w:t xml:space="preserve"> for corrective and preventive measures.</w:t>
      </w:r>
    </w:p>
    <w:p w14:paraId="7FA2C9E4" w14:textId="77777777" w:rsidR="00467B7C" w:rsidRDefault="00467B7C" w:rsidP="00467B7C">
      <w:pPr>
        <w:spacing w:after="0"/>
        <w:rPr>
          <w:b/>
          <w:bCs/>
        </w:rPr>
      </w:pPr>
    </w:p>
    <w:p w14:paraId="0816950D" w14:textId="77777777" w:rsidR="00467B7C" w:rsidRPr="00467B7C" w:rsidRDefault="00923720" w:rsidP="00467B7C">
      <w:pPr>
        <w:spacing w:after="12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Eligibility Requirements</w:t>
      </w:r>
    </w:p>
    <w:p w14:paraId="23DE671B" w14:textId="57CA5473" w:rsidR="00923720" w:rsidRPr="00923720" w:rsidRDefault="00923720" w:rsidP="00467B7C">
      <w:pPr>
        <w:spacing w:after="120"/>
      </w:pPr>
      <w:r w:rsidRPr="00923720">
        <w:t>Interested audit firms must meet the following criteria:</w:t>
      </w:r>
    </w:p>
    <w:p w14:paraId="26263F57" w14:textId="77777777" w:rsidR="00923720" w:rsidRPr="00923720" w:rsidRDefault="00923720" w:rsidP="00467B7C">
      <w:pPr>
        <w:numPr>
          <w:ilvl w:val="0"/>
          <w:numId w:val="3"/>
        </w:numPr>
        <w:spacing w:after="120"/>
      </w:pPr>
      <w:r w:rsidRPr="00923720">
        <w:t>Legally registered and licensed to operate in South Sudan (or with a recognized local partner).</w:t>
      </w:r>
    </w:p>
    <w:p w14:paraId="2458BFDA" w14:textId="77777777" w:rsidR="00923720" w:rsidRPr="00923720" w:rsidRDefault="00923720" w:rsidP="00467B7C">
      <w:pPr>
        <w:numPr>
          <w:ilvl w:val="0"/>
          <w:numId w:val="3"/>
        </w:numPr>
        <w:spacing w:after="120"/>
      </w:pPr>
      <w:r w:rsidRPr="00923720">
        <w:t>Demonstrated experience conducting institutional or organizational capacity audits for NGOs, INGOs, or similar entities.</w:t>
      </w:r>
    </w:p>
    <w:p w14:paraId="7BC4E077" w14:textId="77777777" w:rsidR="00923720" w:rsidRPr="00923720" w:rsidRDefault="00923720" w:rsidP="00467B7C">
      <w:pPr>
        <w:numPr>
          <w:ilvl w:val="0"/>
          <w:numId w:val="3"/>
        </w:numPr>
        <w:spacing w:after="120"/>
      </w:pPr>
      <w:r w:rsidRPr="00923720">
        <w:t>Strong track record in governance, financial systems, human resource, and institutional reviews.</w:t>
      </w:r>
    </w:p>
    <w:p w14:paraId="4AE42001" w14:textId="77777777" w:rsidR="00923720" w:rsidRPr="00923720" w:rsidRDefault="00923720" w:rsidP="00467B7C">
      <w:pPr>
        <w:numPr>
          <w:ilvl w:val="0"/>
          <w:numId w:val="3"/>
        </w:numPr>
        <w:spacing w:after="120"/>
      </w:pPr>
      <w:r w:rsidRPr="00923720">
        <w:t>Ability to deploy a multidisciplinary team with expertise in finance, HR, governance, and compliance.</w:t>
      </w:r>
    </w:p>
    <w:p w14:paraId="2CAC9A0F" w14:textId="77777777" w:rsidR="00923720" w:rsidRPr="00923720" w:rsidRDefault="00923720" w:rsidP="00467B7C">
      <w:pPr>
        <w:numPr>
          <w:ilvl w:val="0"/>
          <w:numId w:val="3"/>
        </w:numPr>
        <w:spacing w:after="0"/>
      </w:pPr>
      <w:r w:rsidRPr="00923720">
        <w:t>Independence from Amani South Sudan and its stakeholders (no conflict of interest).</w:t>
      </w:r>
    </w:p>
    <w:p w14:paraId="6D9E3B10" w14:textId="77777777" w:rsidR="000A42DE" w:rsidRDefault="000A42DE" w:rsidP="000A42DE">
      <w:pPr>
        <w:spacing w:after="0"/>
        <w:rPr>
          <w:b/>
          <w:bCs/>
        </w:rPr>
      </w:pPr>
    </w:p>
    <w:p w14:paraId="54D63CB2" w14:textId="6045B784" w:rsidR="000A42DE" w:rsidRPr="000A42DE" w:rsidRDefault="000A42DE" w:rsidP="000A42DE">
      <w:pPr>
        <w:spacing w:after="120"/>
        <w:rPr>
          <w:b/>
          <w:bCs/>
          <w:sz w:val="28"/>
          <w:szCs w:val="28"/>
        </w:rPr>
      </w:pPr>
      <w:r w:rsidRPr="000A42DE">
        <w:rPr>
          <w:b/>
          <w:bCs/>
          <w:sz w:val="28"/>
          <w:szCs w:val="28"/>
        </w:rPr>
        <w:t>Conflict of Interest Clause</w:t>
      </w:r>
    </w:p>
    <w:p w14:paraId="4B179499" w14:textId="39E34E75" w:rsidR="00467B7C" w:rsidRDefault="000A42DE" w:rsidP="000A42DE">
      <w:pPr>
        <w:spacing w:after="0"/>
        <w:jc w:val="both"/>
      </w:pPr>
      <w:r w:rsidRPr="000A42DE">
        <w:t>All applicants must declare any actual, perceived, or potential conflicts of interest with Amani South Sudan, its staff, board members, or partners. Firms found to have a conflict of interest will be disqualified from consideration.</w:t>
      </w:r>
    </w:p>
    <w:p w14:paraId="15403249" w14:textId="77777777" w:rsidR="000A42DE" w:rsidRDefault="000A42DE" w:rsidP="000A42DE">
      <w:pPr>
        <w:spacing w:after="0"/>
        <w:jc w:val="both"/>
      </w:pPr>
    </w:p>
    <w:p w14:paraId="560B3977" w14:textId="77777777" w:rsidR="003C6BF4" w:rsidRPr="002C649C" w:rsidRDefault="000A42DE" w:rsidP="003C6BF4">
      <w:pPr>
        <w:spacing w:after="120"/>
        <w:rPr>
          <w:sz w:val="28"/>
          <w:szCs w:val="28"/>
        </w:rPr>
      </w:pPr>
      <w:r w:rsidRPr="000A42DE">
        <w:rPr>
          <w:b/>
          <w:bCs/>
          <w:sz w:val="28"/>
          <w:szCs w:val="28"/>
        </w:rPr>
        <w:t>Code of Conduct</w:t>
      </w:r>
    </w:p>
    <w:p w14:paraId="48D03D67" w14:textId="31A9B180" w:rsidR="000A42DE" w:rsidRPr="000A42DE" w:rsidRDefault="000A42DE" w:rsidP="003C6BF4">
      <w:pPr>
        <w:spacing w:after="120"/>
      </w:pPr>
      <w:r w:rsidRPr="000A42DE">
        <w:t>The selected audit firm and all team members are expected to uphold the highest standards of professional ethics and conduct throughout the engagement. This includes:</w:t>
      </w:r>
    </w:p>
    <w:p w14:paraId="77D0849D" w14:textId="77777777" w:rsidR="000A42DE" w:rsidRPr="000A42DE" w:rsidRDefault="000A42DE" w:rsidP="000A42DE">
      <w:pPr>
        <w:numPr>
          <w:ilvl w:val="0"/>
          <w:numId w:val="6"/>
        </w:numPr>
        <w:spacing w:after="0"/>
        <w:jc w:val="both"/>
      </w:pPr>
      <w:r w:rsidRPr="000A42DE">
        <w:lastRenderedPageBreak/>
        <w:t>Treating all staff, stakeholders, and beneficiaries with respect and integrity.</w:t>
      </w:r>
    </w:p>
    <w:p w14:paraId="157C5FF7" w14:textId="77777777" w:rsidR="000A42DE" w:rsidRPr="000A42DE" w:rsidRDefault="000A42DE" w:rsidP="000A42DE">
      <w:pPr>
        <w:numPr>
          <w:ilvl w:val="0"/>
          <w:numId w:val="6"/>
        </w:numPr>
        <w:spacing w:after="0"/>
        <w:jc w:val="both"/>
      </w:pPr>
      <w:r w:rsidRPr="000A42DE">
        <w:t>Maintaining confidentiality of all information accessed during the audit.</w:t>
      </w:r>
    </w:p>
    <w:p w14:paraId="5F7A53FB" w14:textId="77777777" w:rsidR="000A42DE" w:rsidRPr="000A42DE" w:rsidRDefault="000A42DE" w:rsidP="000A42DE">
      <w:pPr>
        <w:numPr>
          <w:ilvl w:val="0"/>
          <w:numId w:val="6"/>
        </w:numPr>
        <w:spacing w:after="0"/>
        <w:jc w:val="both"/>
      </w:pPr>
      <w:r w:rsidRPr="000A42DE">
        <w:t>Adhering to Amani South Sudan policies, local laws, and donor regulations.</w:t>
      </w:r>
    </w:p>
    <w:p w14:paraId="72F4A86F" w14:textId="77777777" w:rsidR="000A42DE" w:rsidRPr="000A42DE" w:rsidRDefault="000A42DE" w:rsidP="000A42DE">
      <w:pPr>
        <w:numPr>
          <w:ilvl w:val="0"/>
          <w:numId w:val="6"/>
        </w:numPr>
        <w:spacing w:after="0"/>
        <w:jc w:val="both"/>
      </w:pPr>
      <w:r w:rsidRPr="000A42DE">
        <w:t>Ensuring transparency and impartiality in reporting findings.</w:t>
      </w:r>
    </w:p>
    <w:p w14:paraId="1F77E27F" w14:textId="77777777" w:rsidR="000A42DE" w:rsidRDefault="000A42DE" w:rsidP="000A42DE">
      <w:pPr>
        <w:spacing w:after="0"/>
        <w:rPr>
          <w:b/>
          <w:bCs/>
        </w:rPr>
      </w:pPr>
    </w:p>
    <w:p w14:paraId="2097CB7B" w14:textId="77777777" w:rsidR="003C6BF4" w:rsidRPr="002C649C" w:rsidRDefault="000A42DE" w:rsidP="003C6BF4">
      <w:pPr>
        <w:spacing w:after="120"/>
        <w:rPr>
          <w:sz w:val="28"/>
          <w:szCs w:val="28"/>
        </w:rPr>
      </w:pPr>
      <w:r w:rsidRPr="000A42DE">
        <w:rPr>
          <w:b/>
          <w:bCs/>
          <w:sz w:val="28"/>
          <w:szCs w:val="28"/>
        </w:rPr>
        <w:t>PSEA Statement</w:t>
      </w:r>
    </w:p>
    <w:p w14:paraId="2EEEABE0" w14:textId="25509CB0" w:rsidR="000A42DE" w:rsidRPr="000A42DE" w:rsidRDefault="000A42DE" w:rsidP="003C6BF4">
      <w:pPr>
        <w:spacing w:after="0"/>
      </w:pPr>
      <w:r w:rsidRPr="000A42DE">
        <w:t xml:space="preserve">Amani South Sudan is committed to maintaining a safe and respectful environment for all. All audit activities must comply with our </w:t>
      </w:r>
      <w:r w:rsidRPr="000A42DE">
        <w:rPr>
          <w:b/>
          <w:bCs/>
        </w:rPr>
        <w:t>Protection from Sexual Exploitation and Abuse (PSEA) policies</w:t>
      </w:r>
      <w:r w:rsidRPr="000A42DE">
        <w:t>, and the selected firm will be expected to uphold these standards throughout the engagement.</w:t>
      </w:r>
    </w:p>
    <w:p w14:paraId="1BCF233E" w14:textId="77777777" w:rsidR="000A42DE" w:rsidRDefault="000A42DE" w:rsidP="000A42DE">
      <w:pPr>
        <w:spacing w:after="0"/>
        <w:rPr>
          <w:b/>
          <w:bCs/>
        </w:rPr>
      </w:pPr>
    </w:p>
    <w:p w14:paraId="3A1E42FC" w14:textId="77777777" w:rsidR="00467B7C" w:rsidRPr="000A42DE" w:rsidRDefault="00923720" w:rsidP="00467B7C">
      <w:pPr>
        <w:spacing w:after="120"/>
        <w:rPr>
          <w:sz w:val="28"/>
          <w:szCs w:val="28"/>
        </w:rPr>
      </w:pPr>
      <w:r w:rsidRPr="000A42DE">
        <w:rPr>
          <w:b/>
          <w:bCs/>
          <w:sz w:val="28"/>
          <w:szCs w:val="28"/>
        </w:rPr>
        <w:t>Application Procedure</w:t>
      </w:r>
    </w:p>
    <w:p w14:paraId="749F072A" w14:textId="1102F92F" w:rsidR="00923720" w:rsidRPr="00923720" w:rsidRDefault="00923720" w:rsidP="00467B7C">
      <w:pPr>
        <w:spacing w:after="120"/>
      </w:pPr>
      <w:r w:rsidRPr="00923720">
        <w:t xml:space="preserve">Interested and qualified firms are invited to submit an </w:t>
      </w:r>
      <w:r w:rsidRPr="00923720">
        <w:rPr>
          <w:b/>
          <w:bCs/>
        </w:rPr>
        <w:t>Expression of Interest (EOI)</w:t>
      </w:r>
      <w:r w:rsidRPr="00923720">
        <w:t xml:space="preserve"> including:</w:t>
      </w:r>
    </w:p>
    <w:p w14:paraId="13E2CEAC" w14:textId="77777777" w:rsidR="00923720" w:rsidRPr="00923720" w:rsidRDefault="00923720" w:rsidP="00467B7C">
      <w:pPr>
        <w:numPr>
          <w:ilvl w:val="0"/>
          <w:numId w:val="4"/>
        </w:numPr>
        <w:spacing w:after="120"/>
      </w:pPr>
      <w:r w:rsidRPr="00923720">
        <w:t>A cover letter outlining the firm’s suitability for the assignment.</w:t>
      </w:r>
    </w:p>
    <w:p w14:paraId="7F1F4C0F" w14:textId="77777777" w:rsidR="00923720" w:rsidRPr="00923720" w:rsidRDefault="00923720" w:rsidP="00467B7C">
      <w:pPr>
        <w:numPr>
          <w:ilvl w:val="0"/>
          <w:numId w:val="4"/>
        </w:numPr>
        <w:spacing w:after="120"/>
      </w:pPr>
      <w:r w:rsidRPr="00923720">
        <w:t>Company profile highlighting relevant experience and past assignments.</w:t>
      </w:r>
    </w:p>
    <w:p w14:paraId="6EB5E8C3" w14:textId="77777777" w:rsidR="00923720" w:rsidRPr="00923720" w:rsidRDefault="00923720" w:rsidP="00467B7C">
      <w:pPr>
        <w:numPr>
          <w:ilvl w:val="0"/>
          <w:numId w:val="4"/>
        </w:numPr>
        <w:spacing w:after="120"/>
      </w:pPr>
      <w:r w:rsidRPr="00923720">
        <w:t>Detailed technical and financial proposal.</w:t>
      </w:r>
    </w:p>
    <w:p w14:paraId="53AF70DB" w14:textId="77777777" w:rsidR="00923720" w:rsidRPr="00923720" w:rsidRDefault="00923720" w:rsidP="00467B7C">
      <w:pPr>
        <w:numPr>
          <w:ilvl w:val="0"/>
          <w:numId w:val="4"/>
        </w:numPr>
        <w:spacing w:after="120"/>
      </w:pPr>
      <w:r w:rsidRPr="00923720">
        <w:t>CVs of proposed audit team members.</w:t>
      </w:r>
    </w:p>
    <w:p w14:paraId="0C8970AE" w14:textId="77777777" w:rsidR="00923720" w:rsidRPr="00923720" w:rsidRDefault="00923720" w:rsidP="00467B7C">
      <w:pPr>
        <w:numPr>
          <w:ilvl w:val="0"/>
          <w:numId w:val="4"/>
        </w:numPr>
        <w:spacing w:after="120"/>
      </w:pPr>
      <w:r w:rsidRPr="00923720">
        <w:t>Copies of legal registration, tax compliance, and accreditation documents.</w:t>
      </w:r>
    </w:p>
    <w:p w14:paraId="0FB48500" w14:textId="77777777" w:rsidR="00923720" w:rsidRPr="00923720" w:rsidRDefault="00923720" w:rsidP="00467B7C">
      <w:pPr>
        <w:numPr>
          <w:ilvl w:val="0"/>
          <w:numId w:val="4"/>
        </w:numPr>
        <w:spacing w:after="0"/>
      </w:pPr>
      <w:r w:rsidRPr="00923720">
        <w:t>At least three (3) references from previous institutional audits conducted.</w:t>
      </w:r>
    </w:p>
    <w:p w14:paraId="3776550F" w14:textId="77777777" w:rsidR="00467B7C" w:rsidRDefault="00467B7C" w:rsidP="00467B7C">
      <w:pPr>
        <w:spacing w:after="0"/>
        <w:rPr>
          <w:b/>
          <w:bCs/>
        </w:rPr>
      </w:pPr>
    </w:p>
    <w:p w14:paraId="1B5F16E9" w14:textId="35FC9F41" w:rsidR="00923720" w:rsidRPr="00467B7C" w:rsidRDefault="00923720" w:rsidP="00467B7C">
      <w:pPr>
        <w:spacing w:after="12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Submission Details</w:t>
      </w:r>
    </w:p>
    <w:p w14:paraId="29FEAE2E" w14:textId="53DD52B7" w:rsidR="00923720" w:rsidRPr="00923720" w:rsidRDefault="00923720" w:rsidP="00467B7C">
      <w:pPr>
        <w:numPr>
          <w:ilvl w:val="0"/>
          <w:numId w:val="5"/>
        </w:numPr>
        <w:spacing w:after="120"/>
      </w:pPr>
      <w:r w:rsidRPr="00923720">
        <w:rPr>
          <w:b/>
          <w:bCs/>
        </w:rPr>
        <w:t>Deadline for submission:</w:t>
      </w:r>
      <w:r w:rsidRPr="00923720">
        <w:t xml:space="preserve"> </w:t>
      </w:r>
      <w:r w:rsidR="00467B7C" w:rsidRPr="002633D5">
        <w:rPr>
          <w:highlight w:val="yellow"/>
        </w:rPr>
        <w:t>Friday, October 10</w:t>
      </w:r>
      <w:r w:rsidR="00467B7C" w:rsidRPr="002633D5">
        <w:rPr>
          <w:highlight w:val="yellow"/>
          <w:vertAlign w:val="superscript"/>
        </w:rPr>
        <w:t>th</w:t>
      </w:r>
      <w:r w:rsidR="00467B7C" w:rsidRPr="002633D5">
        <w:rPr>
          <w:highlight w:val="yellow"/>
        </w:rPr>
        <w:t>, 2025</w:t>
      </w:r>
    </w:p>
    <w:p w14:paraId="2A6CE3C5" w14:textId="6C9DBA0D" w:rsidR="00923720" w:rsidRPr="00595A13" w:rsidRDefault="00923720" w:rsidP="00467B7C">
      <w:pPr>
        <w:numPr>
          <w:ilvl w:val="0"/>
          <w:numId w:val="5"/>
        </w:numPr>
        <w:spacing w:after="120"/>
        <w:rPr>
          <w:b/>
          <w:bCs/>
        </w:rPr>
      </w:pPr>
      <w:r w:rsidRPr="00923720">
        <w:rPr>
          <w:b/>
          <w:bCs/>
        </w:rPr>
        <w:t>Submission method:</w:t>
      </w:r>
      <w:r w:rsidRPr="00923720">
        <w:t xml:space="preserve"> Proposals </w:t>
      </w:r>
      <w:r w:rsidR="002B57EC">
        <w:t xml:space="preserve">and any question </w:t>
      </w:r>
      <w:r w:rsidRPr="00923720">
        <w:t xml:space="preserve">should be submitted electronically in PDF format to </w:t>
      </w:r>
      <w:hyperlink r:id="rId7" w:history="1">
        <w:r w:rsidR="00467B7C" w:rsidRPr="00467B7C">
          <w:rPr>
            <w:rStyle w:val="Hyperlink"/>
            <w:color w:val="0000FF"/>
          </w:rPr>
          <w:t>tenders@amani-ss.org</w:t>
        </w:r>
      </w:hyperlink>
      <w:r w:rsidR="00467B7C">
        <w:t xml:space="preserve"> </w:t>
      </w:r>
      <w:r w:rsidRPr="00923720">
        <w:t xml:space="preserve">with the subject line: </w:t>
      </w:r>
      <w:r w:rsidRPr="00595A13">
        <w:rPr>
          <w:b/>
          <w:bCs/>
          <w:i/>
          <w:iCs/>
        </w:rPr>
        <w:t>“Expression of Interest – Institutional Audit: Amani South Sudan”</w:t>
      </w:r>
      <w:r w:rsidRPr="00595A13">
        <w:rPr>
          <w:b/>
          <w:bCs/>
        </w:rPr>
        <w:t>.</w:t>
      </w:r>
    </w:p>
    <w:p w14:paraId="2E6AB3DD" w14:textId="77777777" w:rsidR="00923720" w:rsidRPr="00923720" w:rsidRDefault="00923720" w:rsidP="00467B7C">
      <w:pPr>
        <w:numPr>
          <w:ilvl w:val="0"/>
          <w:numId w:val="5"/>
        </w:numPr>
        <w:spacing w:after="0"/>
      </w:pPr>
      <w:r w:rsidRPr="00923720">
        <w:t>Only shortlisted firms will be contacted for further discussions.</w:t>
      </w:r>
    </w:p>
    <w:p w14:paraId="7F476DD2" w14:textId="77777777" w:rsidR="00467B7C" w:rsidRDefault="00467B7C" w:rsidP="00467B7C">
      <w:pPr>
        <w:spacing w:after="0"/>
        <w:rPr>
          <w:b/>
          <w:bCs/>
        </w:rPr>
      </w:pPr>
    </w:p>
    <w:p w14:paraId="32701135" w14:textId="77777777" w:rsidR="00467B7C" w:rsidRPr="00467B7C" w:rsidRDefault="00923720" w:rsidP="00467B7C">
      <w:pPr>
        <w:spacing w:after="120"/>
        <w:rPr>
          <w:sz w:val="28"/>
          <w:szCs w:val="28"/>
        </w:rPr>
      </w:pPr>
      <w:r w:rsidRPr="00467B7C">
        <w:rPr>
          <w:b/>
          <w:bCs/>
          <w:sz w:val="28"/>
          <w:szCs w:val="28"/>
        </w:rPr>
        <w:t>Disclaimer:</w:t>
      </w:r>
    </w:p>
    <w:p w14:paraId="464F1138" w14:textId="09B37593" w:rsidR="00CB2E59" w:rsidRDefault="00923720" w:rsidP="003C6BF4">
      <w:pPr>
        <w:spacing w:after="120"/>
      </w:pPr>
      <w:r w:rsidRPr="00923720">
        <w:t>Amani South Sudan reserves the right to accept or reject any application without assigning reason(s).</w:t>
      </w:r>
    </w:p>
    <w:sectPr w:rsidR="00CB2E59" w:rsidSect="003C6BF4">
      <w:headerReference w:type="default" r:id="rId8"/>
      <w:pgSz w:w="12240" w:h="15840"/>
      <w:pgMar w:top="2520" w:right="1440" w:bottom="10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C8B9B" w14:textId="77777777" w:rsidR="00CA2252" w:rsidRDefault="00CA2252" w:rsidP="009305B2">
      <w:pPr>
        <w:spacing w:after="0" w:line="240" w:lineRule="auto"/>
      </w:pPr>
      <w:r>
        <w:separator/>
      </w:r>
    </w:p>
  </w:endnote>
  <w:endnote w:type="continuationSeparator" w:id="0">
    <w:p w14:paraId="529D69D8" w14:textId="77777777" w:rsidR="00CA2252" w:rsidRDefault="00CA2252" w:rsidP="0093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1286C" w14:textId="77777777" w:rsidR="00CA2252" w:rsidRDefault="00CA2252" w:rsidP="009305B2">
      <w:pPr>
        <w:spacing w:after="0" w:line="240" w:lineRule="auto"/>
      </w:pPr>
      <w:r>
        <w:separator/>
      </w:r>
    </w:p>
  </w:footnote>
  <w:footnote w:type="continuationSeparator" w:id="0">
    <w:p w14:paraId="022107E0" w14:textId="77777777" w:rsidR="00CA2252" w:rsidRDefault="00CA2252" w:rsidP="00930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5BDC" w14:textId="08C174AC" w:rsidR="00467B7C" w:rsidRDefault="00467B7C" w:rsidP="00467B7C">
    <w:pPr>
      <w:pStyle w:val="Header"/>
      <w:jc w:val="center"/>
    </w:pPr>
    <w:r>
      <w:rPr>
        <w:noProof/>
      </w:rPr>
      <w:drawing>
        <wp:inline distT="0" distB="0" distL="0" distR="0" wp14:anchorId="40C785C4" wp14:editId="3425143A">
          <wp:extent cx="1956435" cy="1270000"/>
          <wp:effectExtent l="0" t="0" r="5715" b="6350"/>
          <wp:docPr id="16365573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127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55FB5"/>
    <w:multiLevelType w:val="multilevel"/>
    <w:tmpl w:val="D2EE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C4004"/>
    <w:multiLevelType w:val="multilevel"/>
    <w:tmpl w:val="5B28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337ED"/>
    <w:multiLevelType w:val="multilevel"/>
    <w:tmpl w:val="7DC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914C8"/>
    <w:multiLevelType w:val="multilevel"/>
    <w:tmpl w:val="FA0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65209F"/>
    <w:multiLevelType w:val="multilevel"/>
    <w:tmpl w:val="676A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F41DB"/>
    <w:multiLevelType w:val="multilevel"/>
    <w:tmpl w:val="55F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240015">
    <w:abstractNumId w:val="3"/>
  </w:num>
  <w:num w:numId="2" w16cid:durableId="1419980249">
    <w:abstractNumId w:val="1"/>
  </w:num>
  <w:num w:numId="3" w16cid:durableId="1163425499">
    <w:abstractNumId w:val="0"/>
  </w:num>
  <w:num w:numId="4" w16cid:durableId="694695910">
    <w:abstractNumId w:val="5"/>
  </w:num>
  <w:num w:numId="5" w16cid:durableId="1519612961">
    <w:abstractNumId w:val="2"/>
  </w:num>
  <w:num w:numId="6" w16cid:durableId="97749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20"/>
    <w:rsid w:val="000A42DE"/>
    <w:rsid w:val="001C1C14"/>
    <w:rsid w:val="002633D5"/>
    <w:rsid w:val="002B57EC"/>
    <w:rsid w:val="002C649C"/>
    <w:rsid w:val="003C6BF4"/>
    <w:rsid w:val="003F44C2"/>
    <w:rsid w:val="00467B7C"/>
    <w:rsid w:val="004E37CB"/>
    <w:rsid w:val="00595A13"/>
    <w:rsid w:val="007A11DE"/>
    <w:rsid w:val="00923720"/>
    <w:rsid w:val="009305B2"/>
    <w:rsid w:val="00AD59C6"/>
    <w:rsid w:val="00B85E69"/>
    <w:rsid w:val="00CA2252"/>
    <w:rsid w:val="00CB2E59"/>
    <w:rsid w:val="00F371A6"/>
    <w:rsid w:val="00F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8D6F"/>
  <w15:chartTrackingRefBased/>
  <w15:docId w15:val="{4CBFD7B2-4026-4E84-9BCE-3B9E9EBE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7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B2"/>
  </w:style>
  <w:style w:type="paragraph" w:styleId="Footer">
    <w:name w:val="footer"/>
    <w:basedOn w:val="Normal"/>
    <w:link w:val="FooterChar"/>
    <w:uiPriority w:val="99"/>
    <w:unhideWhenUsed/>
    <w:rsid w:val="0093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B2"/>
  </w:style>
  <w:style w:type="character" w:styleId="Hyperlink">
    <w:name w:val="Hyperlink"/>
    <w:basedOn w:val="DefaultParagraphFont"/>
    <w:uiPriority w:val="99"/>
    <w:unhideWhenUsed/>
    <w:rsid w:val="00467B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s@amani-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Ayom Abdallah</dc:creator>
  <cp:keywords/>
  <dc:description/>
  <cp:lastModifiedBy>Ayom Abdallah</cp:lastModifiedBy>
  <cp:revision>8</cp:revision>
  <dcterms:created xsi:type="dcterms:W3CDTF">2025-09-22T08:26:00Z</dcterms:created>
  <dcterms:modified xsi:type="dcterms:W3CDTF">2025-09-23T14:07:00Z</dcterms:modified>
</cp:coreProperties>
</file>