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8946C" w14:textId="77777777" w:rsidR="00815963" w:rsidRDefault="00815963" w:rsidP="00815963">
      <w:pPr>
        <w:pStyle w:val="Default"/>
      </w:pPr>
    </w:p>
    <w:p w14:paraId="7D52B338" w14:textId="20ACE2E0" w:rsidR="00815963" w:rsidRPr="00F10160" w:rsidRDefault="00815963" w:rsidP="00815963">
      <w:pPr>
        <w:pStyle w:val="Default"/>
        <w:rPr>
          <w:b/>
          <w:bCs/>
          <w:sz w:val="22"/>
          <w:szCs w:val="22"/>
        </w:rPr>
      </w:pPr>
      <w:r w:rsidRPr="00F10160">
        <w:rPr>
          <w:b/>
          <w:bCs/>
          <w:sz w:val="22"/>
          <w:szCs w:val="22"/>
        </w:rPr>
        <w:t xml:space="preserve">Terms of Reference for Implementing Partner (IP) for the Youth Leading Peace: Establishing participatory and inclusive mechanisms for implementation of the Youth Peace and Security Agenda in South Sudan Project </w:t>
      </w:r>
    </w:p>
    <w:p w14:paraId="64E5B1A0" w14:textId="77777777" w:rsidR="001B1701" w:rsidRPr="00F10160" w:rsidRDefault="001B1701" w:rsidP="00815963">
      <w:pPr>
        <w:pStyle w:val="Default"/>
        <w:rPr>
          <w:b/>
          <w:bCs/>
          <w:sz w:val="22"/>
          <w:szCs w:val="22"/>
        </w:rPr>
      </w:pPr>
    </w:p>
    <w:tbl>
      <w:tblPr>
        <w:tblStyle w:val="TableGrid"/>
        <w:tblW w:w="0" w:type="auto"/>
        <w:tblLook w:val="04A0" w:firstRow="1" w:lastRow="0" w:firstColumn="1" w:lastColumn="0" w:noHBand="0" w:noVBand="1"/>
      </w:tblPr>
      <w:tblGrid>
        <w:gridCol w:w="1975"/>
        <w:gridCol w:w="7375"/>
      </w:tblGrid>
      <w:tr w:rsidR="001B1701" w:rsidRPr="00F10160" w14:paraId="5400D418" w14:textId="77777777" w:rsidTr="001B1701">
        <w:tc>
          <w:tcPr>
            <w:tcW w:w="1975" w:type="dxa"/>
            <w:tcBorders>
              <w:top w:val="single" w:sz="4" w:space="0" w:color="auto"/>
              <w:left w:val="single" w:sz="4" w:space="0" w:color="auto"/>
              <w:bottom w:val="single" w:sz="4" w:space="0" w:color="auto"/>
              <w:right w:val="single" w:sz="4" w:space="0" w:color="auto"/>
            </w:tcBorders>
            <w:hideMark/>
          </w:tcPr>
          <w:p w14:paraId="72F107CB" w14:textId="77777777" w:rsidR="001B1701" w:rsidRPr="00F10160" w:rsidRDefault="001B1701">
            <w:pPr>
              <w:jc w:val="both"/>
              <w:rPr>
                <w:rFonts w:ascii="Calibri" w:hAnsi="Calibri" w:cs="Calibri"/>
                <w:sz w:val="22"/>
                <w:szCs w:val="22"/>
              </w:rPr>
            </w:pPr>
            <w:r w:rsidRPr="00F10160">
              <w:rPr>
                <w:rFonts w:ascii="Calibri" w:hAnsi="Calibri" w:cs="Calibri"/>
                <w:sz w:val="22"/>
                <w:szCs w:val="22"/>
              </w:rPr>
              <w:t>Country</w:t>
            </w:r>
          </w:p>
        </w:tc>
        <w:tc>
          <w:tcPr>
            <w:tcW w:w="7375" w:type="dxa"/>
            <w:tcBorders>
              <w:top w:val="single" w:sz="4" w:space="0" w:color="auto"/>
              <w:left w:val="single" w:sz="4" w:space="0" w:color="auto"/>
              <w:bottom w:val="single" w:sz="4" w:space="0" w:color="auto"/>
              <w:right w:val="single" w:sz="4" w:space="0" w:color="auto"/>
            </w:tcBorders>
            <w:hideMark/>
          </w:tcPr>
          <w:p w14:paraId="23C4E7E4" w14:textId="77777777" w:rsidR="001B1701" w:rsidRPr="00F10160" w:rsidRDefault="001B1701">
            <w:pPr>
              <w:jc w:val="both"/>
              <w:rPr>
                <w:rFonts w:ascii="Calibri" w:hAnsi="Calibri" w:cs="Calibri"/>
                <w:sz w:val="22"/>
                <w:szCs w:val="22"/>
              </w:rPr>
            </w:pPr>
            <w:r w:rsidRPr="00F10160">
              <w:rPr>
                <w:rFonts w:ascii="Calibri" w:hAnsi="Calibri" w:cs="Calibri"/>
                <w:sz w:val="22"/>
                <w:szCs w:val="22"/>
              </w:rPr>
              <w:t>South Sudan</w:t>
            </w:r>
          </w:p>
        </w:tc>
      </w:tr>
      <w:tr w:rsidR="001B1701" w:rsidRPr="00F10160" w14:paraId="05AD3753" w14:textId="77777777" w:rsidTr="001B1701">
        <w:tc>
          <w:tcPr>
            <w:tcW w:w="1975" w:type="dxa"/>
            <w:tcBorders>
              <w:top w:val="single" w:sz="4" w:space="0" w:color="auto"/>
              <w:left w:val="single" w:sz="4" w:space="0" w:color="auto"/>
              <w:bottom w:val="single" w:sz="4" w:space="0" w:color="auto"/>
              <w:right w:val="single" w:sz="4" w:space="0" w:color="auto"/>
            </w:tcBorders>
            <w:hideMark/>
          </w:tcPr>
          <w:p w14:paraId="3ED57463" w14:textId="77777777" w:rsidR="001B1701" w:rsidRPr="00695E91" w:rsidRDefault="001B1701">
            <w:pPr>
              <w:jc w:val="both"/>
              <w:rPr>
                <w:rFonts w:ascii="Calibri" w:hAnsi="Calibri" w:cs="Calibri"/>
                <w:sz w:val="22"/>
                <w:szCs w:val="22"/>
              </w:rPr>
            </w:pPr>
            <w:r w:rsidRPr="00695E91">
              <w:rPr>
                <w:rFonts w:ascii="Calibri" w:hAnsi="Calibri" w:cs="Calibri"/>
                <w:sz w:val="22"/>
                <w:szCs w:val="22"/>
              </w:rPr>
              <w:t>Project locations</w:t>
            </w:r>
          </w:p>
        </w:tc>
        <w:tc>
          <w:tcPr>
            <w:tcW w:w="7375" w:type="dxa"/>
            <w:tcBorders>
              <w:top w:val="single" w:sz="4" w:space="0" w:color="auto"/>
              <w:left w:val="single" w:sz="4" w:space="0" w:color="auto"/>
              <w:bottom w:val="single" w:sz="4" w:space="0" w:color="auto"/>
              <w:right w:val="single" w:sz="4" w:space="0" w:color="auto"/>
            </w:tcBorders>
            <w:hideMark/>
          </w:tcPr>
          <w:p w14:paraId="1DDEC160" w14:textId="0A72AB75" w:rsidR="001B1701" w:rsidRPr="00695E91" w:rsidRDefault="00407269">
            <w:pPr>
              <w:jc w:val="both"/>
              <w:rPr>
                <w:rFonts w:ascii="Calibri" w:hAnsi="Calibri" w:cs="Calibri"/>
                <w:sz w:val="22"/>
                <w:szCs w:val="22"/>
              </w:rPr>
            </w:pPr>
            <w:r w:rsidRPr="00695E91">
              <w:rPr>
                <w:rFonts w:ascii="Calibri" w:hAnsi="Calibri" w:cs="Calibri"/>
                <w:sz w:val="22"/>
                <w:szCs w:val="22"/>
              </w:rPr>
              <w:t>Warrap State</w:t>
            </w:r>
            <w:r w:rsidR="001B1701" w:rsidRPr="00695E91">
              <w:rPr>
                <w:rFonts w:ascii="Calibri" w:hAnsi="Calibri" w:cs="Calibri"/>
                <w:sz w:val="22"/>
                <w:szCs w:val="22"/>
              </w:rPr>
              <w:t xml:space="preserve"> (</w:t>
            </w:r>
            <w:r w:rsidRPr="00695E91">
              <w:rPr>
                <w:rFonts w:ascii="Calibri" w:hAnsi="Calibri" w:cs="Calibri"/>
                <w:sz w:val="22"/>
                <w:szCs w:val="22"/>
              </w:rPr>
              <w:t>Kuajok</w:t>
            </w:r>
            <w:r w:rsidR="001B1701" w:rsidRPr="00695E91">
              <w:rPr>
                <w:rFonts w:ascii="Calibri" w:hAnsi="Calibri" w:cs="Calibri"/>
                <w:sz w:val="22"/>
                <w:szCs w:val="22"/>
              </w:rPr>
              <w:t xml:space="preserve">), </w:t>
            </w:r>
            <w:r w:rsidRPr="00695E91">
              <w:rPr>
                <w:rFonts w:ascii="Calibri" w:hAnsi="Calibri" w:cs="Calibri"/>
                <w:sz w:val="22"/>
                <w:szCs w:val="22"/>
              </w:rPr>
              <w:t>Unity State</w:t>
            </w:r>
            <w:r w:rsidR="001B1701" w:rsidRPr="00695E91">
              <w:rPr>
                <w:rFonts w:ascii="Calibri" w:hAnsi="Calibri" w:cs="Calibri"/>
                <w:sz w:val="22"/>
                <w:szCs w:val="22"/>
              </w:rPr>
              <w:t xml:space="preserve"> (</w:t>
            </w:r>
            <w:r w:rsidRPr="00695E91">
              <w:rPr>
                <w:rFonts w:ascii="Calibri" w:hAnsi="Calibri" w:cs="Calibri"/>
                <w:sz w:val="22"/>
                <w:szCs w:val="22"/>
              </w:rPr>
              <w:t>Bentiu</w:t>
            </w:r>
            <w:r w:rsidR="001B1701" w:rsidRPr="00695E91">
              <w:rPr>
                <w:rFonts w:ascii="Calibri" w:hAnsi="Calibri" w:cs="Calibri"/>
                <w:sz w:val="22"/>
                <w:szCs w:val="22"/>
              </w:rPr>
              <w:t xml:space="preserve">), </w:t>
            </w:r>
            <w:r w:rsidRPr="00695E91">
              <w:rPr>
                <w:rFonts w:ascii="Calibri" w:hAnsi="Calibri" w:cs="Calibri"/>
                <w:sz w:val="22"/>
                <w:szCs w:val="22"/>
              </w:rPr>
              <w:t>Lakes State</w:t>
            </w:r>
            <w:r w:rsidR="001B1701" w:rsidRPr="00695E91">
              <w:rPr>
                <w:rFonts w:ascii="Calibri" w:hAnsi="Calibri" w:cs="Calibri"/>
                <w:sz w:val="22"/>
                <w:szCs w:val="22"/>
              </w:rPr>
              <w:t xml:space="preserve"> (</w:t>
            </w:r>
            <w:r w:rsidRPr="00695E91">
              <w:rPr>
                <w:rFonts w:ascii="Calibri" w:hAnsi="Calibri" w:cs="Calibri"/>
                <w:sz w:val="22"/>
                <w:szCs w:val="22"/>
              </w:rPr>
              <w:t>Rumbek</w:t>
            </w:r>
            <w:r w:rsidR="001B1701" w:rsidRPr="00695E91">
              <w:rPr>
                <w:rFonts w:ascii="Calibri" w:hAnsi="Calibri" w:cs="Calibri"/>
                <w:sz w:val="22"/>
                <w:szCs w:val="22"/>
              </w:rPr>
              <w:t xml:space="preserve">), </w:t>
            </w:r>
            <w:r w:rsidRPr="00695E91">
              <w:rPr>
                <w:rFonts w:ascii="Calibri" w:hAnsi="Calibri" w:cs="Calibri"/>
                <w:sz w:val="22"/>
                <w:szCs w:val="22"/>
              </w:rPr>
              <w:t xml:space="preserve">Eastern Equatoria State </w:t>
            </w:r>
            <w:r w:rsidR="001B1701" w:rsidRPr="00695E91">
              <w:rPr>
                <w:rFonts w:ascii="Calibri" w:hAnsi="Calibri" w:cs="Calibri"/>
                <w:sz w:val="22"/>
                <w:szCs w:val="22"/>
              </w:rPr>
              <w:t>(</w:t>
            </w:r>
            <w:r w:rsidRPr="00695E91">
              <w:rPr>
                <w:rFonts w:ascii="Calibri" w:hAnsi="Calibri" w:cs="Calibri"/>
                <w:sz w:val="22"/>
                <w:szCs w:val="22"/>
              </w:rPr>
              <w:t>Torit</w:t>
            </w:r>
            <w:r w:rsidR="001B1701" w:rsidRPr="00695E91">
              <w:rPr>
                <w:rFonts w:ascii="Calibri" w:hAnsi="Calibri" w:cs="Calibri"/>
                <w:sz w:val="22"/>
                <w:szCs w:val="22"/>
              </w:rPr>
              <w:t>)</w:t>
            </w:r>
          </w:p>
        </w:tc>
      </w:tr>
      <w:tr w:rsidR="001B1701" w:rsidRPr="00F10160" w14:paraId="7CA8271A" w14:textId="77777777" w:rsidTr="001B1701">
        <w:tc>
          <w:tcPr>
            <w:tcW w:w="1975" w:type="dxa"/>
            <w:tcBorders>
              <w:top w:val="single" w:sz="4" w:space="0" w:color="auto"/>
              <w:left w:val="single" w:sz="4" w:space="0" w:color="auto"/>
              <w:bottom w:val="single" w:sz="4" w:space="0" w:color="auto"/>
              <w:right w:val="single" w:sz="4" w:space="0" w:color="auto"/>
            </w:tcBorders>
            <w:hideMark/>
          </w:tcPr>
          <w:p w14:paraId="61302E83" w14:textId="77777777" w:rsidR="001B1701" w:rsidRPr="00F10160" w:rsidRDefault="001B1701">
            <w:pPr>
              <w:jc w:val="both"/>
              <w:rPr>
                <w:rFonts w:ascii="Calibri" w:hAnsi="Calibri" w:cs="Calibri"/>
                <w:sz w:val="22"/>
                <w:szCs w:val="22"/>
              </w:rPr>
            </w:pPr>
            <w:r w:rsidRPr="00F10160">
              <w:rPr>
                <w:rFonts w:ascii="Calibri" w:hAnsi="Calibri" w:cs="Calibri"/>
                <w:sz w:val="22"/>
                <w:szCs w:val="22"/>
              </w:rPr>
              <w:t>Duration</w:t>
            </w:r>
          </w:p>
        </w:tc>
        <w:tc>
          <w:tcPr>
            <w:tcW w:w="7375" w:type="dxa"/>
            <w:tcBorders>
              <w:top w:val="single" w:sz="4" w:space="0" w:color="auto"/>
              <w:left w:val="single" w:sz="4" w:space="0" w:color="auto"/>
              <w:bottom w:val="single" w:sz="4" w:space="0" w:color="auto"/>
              <w:right w:val="single" w:sz="4" w:space="0" w:color="auto"/>
            </w:tcBorders>
            <w:hideMark/>
          </w:tcPr>
          <w:p w14:paraId="10753CBF" w14:textId="11D55C72" w:rsidR="001B1701" w:rsidRPr="00F10160" w:rsidRDefault="00407269">
            <w:pPr>
              <w:jc w:val="both"/>
              <w:rPr>
                <w:rFonts w:ascii="Calibri" w:hAnsi="Calibri" w:cs="Calibri"/>
                <w:sz w:val="22"/>
                <w:szCs w:val="22"/>
              </w:rPr>
            </w:pPr>
            <w:r>
              <w:rPr>
                <w:rFonts w:ascii="Calibri" w:hAnsi="Calibri" w:cs="Calibri"/>
                <w:sz w:val="22"/>
                <w:szCs w:val="22"/>
              </w:rPr>
              <w:t>4</w:t>
            </w:r>
            <w:r w:rsidR="001B1701" w:rsidRPr="00F10160">
              <w:rPr>
                <w:rFonts w:ascii="Calibri" w:hAnsi="Calibri" w:cs="Calibri"/>
                <w:sz w:val="22"/>
                <w:szCs w:val="22"/>
              </w:rPr>
              <w:t xml:space="preserve"> months</w:t>
            </w:r>
          </w:p>
        </w:tc>
      </w:tr>
    </w:tbl>
    <w:p w14:paraId="4B1747D3" w14:textId="77777777" w:rsidR="001B1701" w:rsidRPr="00F10160" w:rsidRDefault="001B1701" w:rsidP="00815963">
      <w:pPr>
        <w:pStyle w:val="Default"/>
        <w:rPr>
          <w:sz w:val="22"/>
          <w:szCs w:val="22"/>
        </w:rPr>
      </w:pPr>
    </w:p>
    <w:p w14:paraId="29AB035D" w14:textId="77777777" w:rsidR="00815963" w:rsidRPr="00F10160" w:rsidRDefault="00815963" w:rsidP="00815963">
      <w:pPr>
        <w:pStyle w:val="Default"/>
        <w:rPr>
          <w:sz w:val="22"/>
          <w:szCs w:val="22"/>
        </w:rPr>
      </w:pPr>
    </w:p>
    <w:p w14:paraId="68B27031" w14:textId="6C984C10" w:rsidR="00815963" w:rsidRPr="00F10160" w:rsidRDefault="00815963" w:rsidP="00815963">
      <w:pPr>
        <w:pStyle w:val="Default"/>
        <w:rPr>
          <w:sz w:val="22"/>
          <w:szCs w:val="22"/>
        </w:rPr>
      </w:pPr>
      <w:r w:rsidRPr="00F10160">
        <w:rPr>
          <w:sz w:val="22"/>
          <w:szCs w:val="22"/>
        </w:rPr>
        <w:t xml:space="preserve">To support these processes, UNESCO will establish an implementation partnership agreement with one youth-led organization who will manage funds from UNESCO to facilitate implementation of the specific activities proposed by the partner, in line with the present TOR and. For the purpose of this call for partnership, UNESCO considers an organization youth-led if at least 60% of the employees in the senior and middle level management positions are young men and young women aged between 18 and 35. This age bracket takes into account the definition of a child in the Transitional Constitution of the Republic of South Sudan (as amended) and the operational definition of youth in the Youth Development Policy. The implementing partner will be tasked through an implementing partner agreement (IPA) to execute the following tasks related to three outputs as follows: </w:t>
      </w:r>
    </w:p>
    <w:p w14:paraId="43077338" w14:textId="77777777" w:rsidR="00815963" w:rsidRPr="00F10160" w:rsidRDefault="00815963" w:rsidP="00815963">
      <w:pPr>
        <w:pStyle w:val="Default"/>
        <w:rPr>
          <w:b/>
          <w:bCs/>
          <w:sz w:val="22"/>
          <w:szCs w:val="22"/>
        </w:rPr>
      </w:pPr>
    </w:p>
    <w:p w14:paraId="2086E397" w14:textId="238867EB" w:rsidR="00815963" w:rsidRPr="00F10160" w:rsidRDefault="00815963" w:rsidP="00815963">
      <w:pPr>
        <w:pStyle w:val="Default"/>
        <w:rPr>
          <w:sz w:val="22"/>
          <w:szCs w:val="22"/>
        </w:rPr>
      </w:pPr>
      <w:r w:rsidRPr="00F10160">
        <w:rPr>
          <w:b/>
          <w:bCs/>
          <w:sz w:val="22"/>
          <w:szCs w:val="22"/>
        </w:rPr>
        <w:t xml:space="preserve">Outputs </w:t>
      </w:r>
    </w:p>
    <w:p w14:paraId="71D5DEE3" w14:textId="77777777" w:rsidR="00815963" w:rsidRPr="00F10160" w:rsidRDefault="00815963" w:rsidP="00815963">
      <w:pPr>
        <w:pStyle w:val="Default"/>
        <w:rPr>
          <w:sz w:val="22"/>
          <w:szCs w:val="22"/>
        </w:rPr>
      </w:pPr>
      <w:r w:rsidRPr="00F10160">
        <w:rPr>
          <w:b/>
          <w:bCs/>
          <w:i/>
          <w:iCs/>
          <w:sz w:val="22"/>
          <w:szCs w:val="22"/>
        </w:rPr>
        <w:t>Output 1:</w:t>
      </w:r>
      <w:r w:rsidRPr="00F10160">
        <w:rPr>
          <w:sz w:val="22"/>
          <w:szCs w:val="22"/>
        </w:rPr>
        <w:t xml:space="preserve"> Young women and young men mobilized and empowered to effectively engage in national and local peacebuilding processes. </w:t>
      </w:r>
    </w:p>
    <w:p w14:paraId="1B4BBB78" w14:textId="77777777" w:rsidR="0097278E" w:rsidRPr="00F10160" w:rsidRDefault="0097278E" w:rsidP="00815963">
      <w:pPr>
        <w:pStyle w:val="Default"/>
        <w:rPr>
          <w:sz w:val="22"/>
          <w:szCs w:val="22"/>
        </w:rPr>
      </w:pPr>
    </w:p>
    <w:p w14:paraId="4D1EB075" w14:textId="280F363A" w:rsidR="0097278E" w:rsidRPr="00F10160" w:rsidRDefault="0097278E" w:rsidP="00815963">
      <w:pPr>
        <w:pStyle w:val="Default"/>
        <w:rPr>
          <w:b/>
          <w:bCs/>
          <w:sz w:val="22"/>
          <w:szCs w:val="22"/>
        </w:rPr>
      </w:pPr>
      <w:r w:rsidRPr="00F10160">
        <w:rPr>
          <w:b/>
          <w:bCs/>
          <w:sz w:val="22"/>
          <w:szCs w:val="22"/>
        </w:rPr>
        <w:t>Activities</w:t>
      </w:r>
    </w:p>
    <w:p w14:paraId="556FB0AE" w14:textId="3B5315A9" w:rsidR="00AA7332" w:rsidRPr="00AC4EAF" w:rsidRDefault="0097278E" w:rsidP="00815963">
      <w:pPr>
        <w:pStyle w:val="Default"/>
        <w:spacing w:after="39"/>
        <w:rPr>
          <w:sz w:val="22"/>
          <w:szCs w:val="22"/>
        </w:rPr>
      </w:pPr>
      <w:r w:rsidRPr="00AC4EAF">
        <w:rPr>
          <w:b/>
          <w:bCs/>
          <w:i/>
          <w:iCs/>
          <w:sz w:val="22"/>
          <w:szCs w:val="22"/>
        </w:rPr>
        <w:t xml:space="preserve">Activity </w:t>
      </w:r>
      <w:r w:rsidR="00815963" w:rsidRPr="00AC4EAF">
        <w:rPr>
          <w:b/>
          <w:bCs/>
          <w:i/>
          <w:iCs/>
          <w:sz w:val="22"/>
          <w:szCs w:val="22"/>
        </w:rPr>
        <w:t>1.1</w:t>
      </w:r>
      <w:r w:rsidRPr="00AC4EAF">
        <w:rPr>
          <w:b/>
          <w:bCs/>
          <w:i/>
          <w:iCs/>
          <w:sz w:val="22"/>
          <w:szCs w:val="22"/>
        </w:rPr>
        <w:t>:</w:t>
      </w:r>
      <w:r w:rsidR="00815963" w:rsidRPr="00AC4EAF">
        <w:rPr>
          <w:sz w:val="22"/>
          <w:szCs w:val="22"/>
        </w:rPr>
        <w:t xml:space="preserve"> </w:t>
      </w:r>
      <w:r w:rsidR="00AA7332" w:rsidRPr="00AC4EAF">
        <w:rPr>
          <w:sz w:val="22"/>
          <w:szCs w:val="22"/>
        </w:rPr>
        <w:t>Establish and operationalize Youth Peace Forums in Lakes and Eastern Equatoria States.</w:t>
      </w:r>
    </w:p>
    <w:p w14:paraId="34D48BCC" w14:textId="4789EC3D" w:rsidR="00815963" w:rsidRPr="00AC4EAF" w:rsidRDefault="00AA7332" w:rsidP="00815963">
      <w:pPr>
        <w:pStyle w:val="Default"/>
        <w:spacing w:after="39"/>
        <w:rPr>
          <w:sz w:val="22"/>
          <w:szCs w:val="22"/>
        </w:rPr>
      </w:pPr>
      <w:r w:rsidRPr="00AC4EAF">
        <w:rPr>
          <w:b/>
          <w:bCs/>
          <w:i/>
          <w:iCs/>
          <w:sz w:val="22"/>
          <w:szCs w:val="22"/>
        </w:rPr>
        <w:t>Activity 1.2:</w:t>
      </w:r>
      <w:r w:rsidRPr="00AC4EAF">
        <w:rPr>
          <w:sz w:val="22"/>
          <w:szCs w:val="22"/>
        </w:rPr>
        <w:t xml:space="preserve"> </w:t>
      </w:r>
      <w:r w:rsidR="00310CF8" w:rsidRPr="00AC4EAF">
        <w:rPr>
          <w:sz w:val="22"/>
          <w:szCs w:val="22"/>
        </w:rPr>
        <w:t xml:space="preserve">Building the capacity of Youth Peace Forums in </w:t>
      </w:r>
      <w:r w:rsidRPr="00AC4EAF">
        <w:rPr>
          <w:sz w:val="22"/>
          <w:szCs w:val="22"/>
        </w:rPr>
        <w:t xml:space="preserve">Warrap State (Kuajok), Unity State (Bentiu), Lakes State (Rumbek), Eastern Equatoria State (Torit) </w:t>
      </w:r>
      <w:r w:rsidR="00310CF8" w:rsidRPr="00AC4EAF">
        <w:rPr>
          <w:sz w:val="22"/>
          <w:szCs w:val="22"/>
        </w:rPr>
        <w:t xml:space="preserve">to operate effectively and </w:t>
      </w:r>
      <w:r w:rsidRPr="00AC4EAF">
        <w:rPr>
          <w:sz w:val="22"/>
          <w:szCs w:val="22"/>
        </w:rPr>
        <w:t xml:space="preserve">help them </w:t>
      </w:r>
      <w:r w:rsidR="00310CF8" w:rsidRPr="00AC4EAF">
        <w:rPr>
          <w:sz w:val="22"/>
          <w:szCs w:val="22"/>
        </w:rPr>
        <w:t xml:space="preserve">meaningfully </w:t>
      </w:r>
      <w:r w:rsidR="00590A09" w:rsidRPr="00AC4EAF">
        <w:rPr>
          <w:sz w:val="22"/>
          <w:szCs w:val="22"/>
        </w:rPr>
        <w:t xml:space="preserve">participate </w:t>
      </w:r>
      <w:r w:rsidR="00310CF8" w:rsidRPr="00AC4EAF">
        <w:rPr>
          <w:sz w:val="22"/>
          <w:szCs w:val="22"/>
        </w:rPr>
        <w:t>in peace building processes.</w:t>
      </w:r>
    </w:p>
    <w:p w14:paraId="0614410F" w14:textId="755B7382" w:rsidR="00815963" w:rsidRPr="00AC4EAF" w:rsidRDefault="0097278E" w:rsidP="00310CF8">
      <w:pPr>
        <w:pStyle w:val="Default"/>
        <w:spacing w:after="39"/>
        <w:rPr>
          <w:sz w:val="22"/>
          <w:szCs w:val="22"/>
        </w:rPr>
      </w:pPr>
      <w:r w:rsidRPr="00AC4EAF">
        <w:rPr>
          <w:b/>
          <w:bCs/>
          <w:i/>
          <w:iCs/>
          <w:sz w:val="22"/>
          <w:szCs w:val="22"/>
        </w:rPr>
        <w:t xml:space="preserve">Activity </w:t>
      </w:r>
      <w:r w:rsidR="00815963" w:rsidRPr="00AC4EAF">
        <w:rPr>
          <w:b/>
          <w:bCs/>
          <w:i/>
          <w:iCs/>
          <w:sz w:val="22"/>
          <w:szCs w:val="22"/>
        </w:rPr>
        <w:t>1.</w:t>
      </w:r>
      <w:r w:rsidR="00AA7332" w:rsidRPr="00AC4EAF">
        <w:rPr>
          <w:b/>
          <w:bCs/>
          <w:i/>
          <w:iCs/>
          <w:sz w:val="22"/>
          <w:szCs w:val="22"/>
        </w:rPr>
        <w:t>3</w:t>
      </w:r>
      <w:r w:rsidRPr="00AC4EAF">
        <w:rPr>
          <w:b/>
          <w:bCs/>
          <w:i/>
          <w:iCs/>
          <w:sz w:val="22"/>
          <w:szCs w:val="22"/>
        </w:rPr>
        <w:t>:</w:t>
      </w:r>
      <w:r w:rsidR="00815963" w:rsidRPr="00AC4EAF">
        <w:rPr>
          <w:sz w:val="22"/>
          <w:szCs w:val="22"/>
        </w:rPr>
        <w:t xml:space="preserve"> </w:t>
      </w:r>
      <w:r w:rsidR="00AA7332" w:rsidRPr="00AC4EAF">
        <w:rPr>
          <w:sz w:val="22"/>
          <w:szCs w:val="22"/>
        </w:rPr>
        <w:t>Initiate and s</w:t>
      </w:r>
      <w:r w:rsidR="00310CF8" w:rsidRPr="00AC4EAF">
        <w:rPr>
          <w:sz w:val="22"/>
          <w:szCs w:val="22"/>
        </w:rPr>
        <w:t xml:space="preserve">upport </w:t>
      </w:r>
      <w:r w:rsidR="00AA7332" w:rsidRPr="00AC4EAF">
        <w:rPr>
          <w:sz w:val="22"/>
          <w:szCs w:val="22"/>
        </w:rPr>
        <w:t xml:space="preserve">peacebuilding activities and dialogues together with the Youth Peace Forums in conflict hotspots such as Tambura in Western Equatoria State, and </w:t>
      </w:r>
      <w:proofErr w:type="spellStart"/>
      <w:r w:rsidR="00AA7332" w:rsidRPr="00AC4EAF">
        <w:rPr>
          <w:sz w:val="22"/>
          <w:szCs w:val="22"/>
        </w:rPr>
        <w:t>Twic</w:t>
      </w:r>
      <w:proofErr w:type="spellEnd"/>
      <w:r w:rsidR="00AA7332" w:rsidRPr="00AC4EAF">
        <w:rPr>
          <w:sz w:val="22"/>
          <w:szCs w:val="22"/>
        </w:rPr>
        <w:t xml:space="preserve">-Ngok Dinka in Warrap State and Abyei Administrative Area. </w:t>
      </w:r>
    </w:p>
    <w:p w14:paraId="7FF014E0" w14:textId="744D1929" w:rsidR="00AC4EAF" w:rsidRPr="00F10160" w:rsidRDefault="00AC4EAF" w:rsidP="00310CF8">
      <w:pPr>
        <w:pStyle w:val="Default"/>
        <w:spacing w:after="39"/>
        <w:rPr>
          <w:sz w:val="22"/>
          <w:szCs w:val="22"/>
        </w:rPr>
      </w:pPr>
      <w:r w:rsidRPr="00043B79">
        <w:rPr>
          <w:b/>
          <w:bCs/>
          <w:i/>
          <w:iCs/>
          <w:sz w:val="22"/>
          <w:szCs w:val="22"/>
        </w:rPr>
        <w:t>Activity 1.4:</w:t>
      </w:r>
      <w:r w:rsidRPr="00AC4EAF">
        <w:rPr>
          <w:sz w:val="22"/>
          <w:szCs w:val="22"/>
        </w:rPr>
        <w:t xml:space="preserve"> Engage with the relevant stakeholders (State Ministry of Peacebuilding; State Ministry of Culture, Youth and Sports; State Peace and Reconciliation Commission; among others) to support the Youth Peace Forums.</w:t>
      </w:r>
    </w:p>
    <w:p w14:paraId="68B2C739" w14:textId="77777777" w:rsidR="0097278E" w:rsidRPr="00F10160" w:rsidRDefault="0097278E" w:rsidP="00310CF8">
      <w:pPr>
        <w:pStyle w:val="Default"/>
        <w:spacing w:after="39"/>
        <w:rPr>
          <w:sz w:val="22"/>
          <w:szCs w:val="22"/>
        </w:rPr>
      </w:pPr>
    </w:p>
    <w:p w14:paraId="443EA27A" w14:textId="77777777" w:rsidR="00815963" w:rsidRPr="00F10160" w:rsidRDefault="00815963" w:rsidP="00815963">
      <w:pPr>
        <w:pStyle w:val="Default"/>
        <w:rPr>
          <w:b/>
          <w:bCs/>
          <w:color w:val="auto"/>
          <w:sz w:val="22"/>
          <w:szCs w:val="22"/>
        </w:rPr>
      </w:pPr>
      <w:r w:rsidRPr="00F10160">
        <w:rPr>
          <w:b/>
          <w:bCs/>
          <w:color w:val="auto"/>
          <w:sz w:val="22"/>
          <w:szCs w:val="22"/>
        </w:rPr>
        <w:t xml:space="preserve">Expected Outputs/Deliverables </w:t>
      </w:r>
    </w:p>
    <w:p w14:paraId="60F2FBDB" w14:textId="77777777" w:rsidR="0097278E" w:rsidRPr="00F10160" w:rsidRDefault="0097278E" w:rsidP="00815963">
      <w:pPr>
        <w:pStyle w:val="Default"/>
        <w:rPr>
          <w:color w:val="auto"/>
          <w:sz w:val="22"/>
          <w:szCs w:val="22"/>
        </w:rPr>
      </w:pPr>
    </w:p>
    <w:p w14:paraId="31EBF6B1" w14:textId="77777777" w:rsidR="00815963" w:rsidRPr="00F10160" w:rsidRDefault="00815963" w:rsidP="00815963">
      <w:pPr>
        <w:pStyle w:val="Default"/>
        <w:rPr>
          <w:color w:val="auto"/>
          <w:sz w:val="22"/>
          <w:szCs w:val="22"/>
        </w:rPr>
      </w:pPr>
      <w:r w:rsidRPr="00F10160">
        <w:rPr>
          <w:color w:val="auto"/>
          <w:sz w:val="22"/>
          <w:szCs w:val="22"/>
        </w:rPr>
        <w:t xml:space="preserve">Below (to be further elaborated in the contract) are the expected deliverables. </w:t>
      </w:r>
    </w:p>
    <w:p w14:paraId="4463AC02" w14:textId="788138A3" w:rsidR="00815963" w:rsidRPr="00F10160" w:rsidRDefault="00815963" w:rsidP="00815963">
      <w:pPr>
        <w:pStyle w:val="Default"/>
        <w:spacing w:after="37"/>
        <w:rPr>
          <w:color w:val="auto"/>
          <w:sz w:val="22"/>
          <w:szCs w:val="22"/>
        </w:rPr>
      </w:pPr>
      <w:r w:rsidRPr="00F10160">
        <w:rPr>
          <w:color w:val="auto"/>
          <w:sz w:val="22"/>
          <w:szCs w:val="22"/>
        </w:rPr>
        <w:t xml:space="preserve">1. Project implementation </w:t>
      </w:r>
      <w:r w:rsidR="0097278E" w:rsidRPr="00F10160">
        <w:rPr>
          <w:color w:val="auto"/>
          <w:sz w:val="22"/>
          <w:szCs w:val="22"/>
        </w:rPr>
        <w:t xml:space="preserve">activities outlined in this TOR </w:t>
      </w:r>
      <w:r w:rsidRPr="00F10160">
        <w:rPr>
          <w:color w:val="auto"/>
          <w:sz w:val="22"/>
          <w:szCs w:val="22"/>
        </w:rPr>
        <w:t>(according to the template provided by UNESCO).</w:t>
      </w:r>
    </w:p>
    <w:p w14:paraId="7DD15198" w14:textId="28BFDF1B" w:rsidR="00815963" w:rsidRPr="00F10160" w:rsidRDefault="00B451F7" w:rsidP="00815963">
      <w:pPr>
        <w:pStyle w:val="Default"/>
        <w:spacing w:after="37"/>
        <w:rPr>
          <w:color w:val="auto"/>
          <w:sz w:val="22"/>
          <w:szCs w:val="22"/>
        </w:rPr>
      </w:pPr>
      <w:r w:rsidRPr="00F10160">
        <w:rPr>
          <w:color w:val="auto"/>
          <w:sz w:val="22"/>
          <w:szCs w:val="22"/>
        </w:rPr>
        <w:t>2</w:t>
      </w:r>
      <w:r w:rsidR="00815963" w:rsidRPr="00F10160">
        <w:rPr>
          <w:color w:val="auto"/>
          <w:sz w:val="22"/>
          <w:szCs w:val="22"/>
        </w:rPr>
        <w:t>. Monthly update on progress in the implementation of activities outlined in th</w:t>
      </w:r>
      <w:r w:rsidR="0097278E" w:rsidRPr="00F10160">
        <w:rPr>
          <w:color w:val="auto"/>
          <w:sz w:val="22"/>
          <w:szCs w:val="22"/>
        </w:rPr>
        <w:t>is TOR.</w:t>
      </w:r>
    </w:p>
    <w:p w14:paraId="09B76EF2" w14:textId="77E0CD5F" w:rsidR="00815963" w:rsidRPr="00F10160" w:rsidRDefault="00B451F7" w:rsidP="00815963">
      <w:pPr>
        <w:pStyle w:val="Default"/>
        <w:spacing w:after="37"/>
        <w:rPr>
          <w:color w:val="auto"/>
          <w:sz w:val="22"/>
          <w:szCs w:val="22"/>
        </w:rPr>
      </w:pPr>
      <w:r w:rsidRPr="00F10160">
        <w:rPr>
          <w:color w:val="auto"/>
          <w:sz w:val="22"/>
          <w:szCs w:val="22"/>
        </w:rPr>
        <w:t>3</w:t>
      </w:r>
      <w:r w:rsidR="00815963" w:rsidRPr="00F10160">
        <w:rPr>
          <w:color w:val="auto"/>
          <w:sz w:val="22"/>
          <w:szCs w:val="22"/>
        </w:rPr>
        <w:t xml:space="preserve">. Visibility and advocacy report on youth participation awareness activities on the importance of youth participation in peace processes. </w:t>
      </w:r>
    </w:p>
    <w:p w14:paraId="5D27ECB7" w14:textId="09647882" w:rsidR="00815963" w:rsidRPr="00F10160" w:rsidRDefault="00B451F7" w:rsidP="00815963">
      <w:pPr>
        <w:pStyle w:val="Default"/>
        <w:rPr>
          <w:color w:val="auto"/>
          <w:sz w:val="22"/>
          <w:szCs w:val="22"/>
        </w:rPr>
      </w:pPr>
      <w:r w:rsidRPr="00F10160">
        <w:rPr>
          <w:color w:val="auto"/>
          <w:sz w:val="22"/>
          <w:szCs w:val="22"/>
        </w:rPr>
        <w:t>4</w:t>
      </w:r>
      <w:r w:rsidR="00815963" w:rsidRPr="00F10160">
        <w:rPr>
          <w:color w:val="auto"/>
          <w:sz w:val="22"/>
          <w:szCs w:val="22"/>
        </w:rPr>
        <w:t xml:space="preserve">. End-of-project narrative and financial report. </w:t>
      </w:r>
    </w:p>
    <w:p w14:paraId="5FB1082A" w14:textId="77777777" w:rsidR="00815963" w:rsidRPr="00F10160" w:rsidRDefault="00815963" w:rsidP="00815963">
      <w:pPr>
        <w:pStyle w:val="Default"/>
        <w:rPr>
          <w:color w:val="auto"/>
          <w:sz w:val="22"/>
          <w:szCs w:val="22"/>
        </w:rPr>
      </w:pPr>
    </w:p>
    <w:p w14:paraId="25930B60" w14:textId="77777777" w:rsidR="00815963" w:rsidRPr="00F10160" w:rsidRDefault="00815963" w:rsidP="00815963">
      <w:pPr>
        <w:pStyle w:val="Default"/>
        <w:rPr>
          <w:color w:val="auto"/>
          <w:sz w:val="22"/>
          <w:szCs w:val="22"/>
        </w:rPr>
      </w:pPr>
      <w:r w:rsidRPr="00F10160">
        <w:rPr>
          <w:b/>
          <w:bCs/>
          <w:color w:val="auto"/>
          <w:sz w:val="22"/>
          <w:szCs w:val="22"/>
        </w:rPr>
        <w:t xml:space="preserve">Eligibility </w:t>
      </w:r>
    </w:p>
    <w:p w14:paraId="15282CBB" w14:textId="319E5459" w:rsidR="00815963" w:rsidRPr="00F10160" w:rsidRDefault="00815963" w:rsidP="00815963">
      <w:pPr>
        <w:pStyle w:val="Default"/>
        <w:rPr>
          <w:color w:val="auto"/>
          <w:sz w:val="22"/>
          <w:szCs w:val="22"/>
        </w:rPr>
      </w:pPr>
      <w:r w:rsidRPr="00F10160">
        <w:rPr>
          <w:color w:val="auto"/>
          <w:sz w:val="22"/>
          <w:szCs w:val="22"/>
        </w:rPr>
        <w:t xml:space="preserve">This call for Partnerships is open only to </w:t>
      </w:r>
      <w:r w:rsidRPr="00F10160">
        <w:rPr>
          <w:b/>
          <w:bCs/>
          <w:color w:val="auto"/>
          <w:sz w:val="22"/>
          <w:szCs w:val="22"/>
        </w:rPr>
        <w:t xml:space="preserve">registered </w:t>
      </w:r>
      <w:r w:rsidR="00783D7A" w:rsidRPr="00F10160">
        <w:rPr>
          <w:b/>
          <w:bCs/>
          <w:color w:val="auto"/>
          <w:sz w:val="22"/>
          <w:szCs w:val="22"/>
        </w:rPr>
        <w:t xml:space="preserve">National NGOs </w:t>
      </w:r>
      <w:r w:rsidRPr="00F10160">
        <w:rPr>
          <w:color w:val="auto"/>
          <w:sz w:val="22"/>
          <w:szCs w:val="22"/>
        </w:rPr>
        <w:t xml:space="preserve">with not-for-profit registered </w:t>
      </w:r>
      <w:r w:rsidR="00783D7A" w:rsidRPr="00F10160">
        <w:rPr>
          <w:color w:val="auto"/>
          <w:sz w:val="22"/>
          <w:szCs w:val="22"/>
        </w:rPr>
        <w:t xml:space="preserve">valid </w:t>
      </w:r>
      <w:r w:rsidRPr="00F10160">
        <w:rPr>
          <w:color w:val="auto"/>
          <w:sz w:val="22"/>
          <w:szCs w:val="22"/>
        </w:rPr>
        <w:t xml:space="preserve">legal status </w:t>
      </w:r>
      <w:r w:rsidR="00783D7A" w:rsidRPr="00F10160">
        <w:rPr>
          <w:color w:val="auto"/>
          <w:sz w:val="22"/>
          <w:szCs w:val="22"/>
        </w:rPr>
        <w:t xml:space="preserve">and </w:t>
      </w:r>
      <w:r w:rsidRPr="00F10160">
        <w:rPr>
          <w:color w:val="auto"/>
          <w:sz w:val="22"/>
          <w:szCs w:val="22"/>
        </w:rPr>
        <w:t xml:space="preserve">operating since 2019. UNESCO evaluation team will only consider proposals that fulfill the mandatory requirements below: </w:t>
      </w:r>
    </w:p>
    <w:p w14:paraId="4148C705" w14:textId="028BFD0C" w:rsidR="00815963" w:rsidRPr="00F10160" w:rsidRDefault="00815963" w:rsidP="00815963">
      <w:pPr>
        <w:pStyle w:val="Default"/>
        <w:spacing w:after="39"/>
        <w:rPr>
          <w:color w:val="auto"/>
          <w:sz w:val="22"/>
          <w:szCs w:val="22"/>
        </w:rPr>
      </w:pPr>
      <w:r w:rsidRPr="00F10160">
        <w:rPr>
          <w:color w:val="auto"/>
          <w:sz w:val="22"/>
          <w:szCs w:val="22"/>
        </w:rPr>
        <w:t>1. Documented experience in programming youth promotion initiatives</w:t>
      </w:r>
      <w:r w:rsidR="00BA4FE8" w:rsidRPr="00F10160">
        <w:rPr>
          <w:color w:val="auto"/>
          <w:sz w:val="22"/>
          <w:szCs w:val="22"/>
        </w:rPr>
        <w:t>.</w:t>
      </w:r>
    </w:p>
    <w:p w14:paraId="2007D06D" w14:textId="438C4606" w:rsidR="00815963" w:rsidRPr="00F10160" w:rsidRDefault="00815963" w:rsidP="00815963">
      <w:pPr>
        <w:pStyle w:val="Default"/>
        <w:spacing w:after="39"/>
        <w:rPr>
          <w:color w:val="auto"/>
          <w:sz w:val="22"/>
          <w:szCs w:val="22"/>
        </w:rPr>
      </w:pPr>
      <w:r w:rsidRPr="00F10160">
        <w:rPr>
          <w:color w:val="auto"/>
          <w:sz w:val="22"/>
          <w:szCs w:val="22"/>
        </w:rPr>
        <w:t xml:space="preserve">2. At least </w:t>
      </w:r>
      <w:r w:rsidR="00BA4FE8" w:rsidRPr="00F10160">
        <w:rPr>
          <w:color w:val="auto"/>
          <w:sz w:val="22"/>
          <w:szCs w:val="22"/>
        </w:rPr>
        <w:t>three</w:t>
      </w:r>
      <w:r w:rsidRPr="00F10160">
        <w:rPr>
          <w:color w:val="auto"/>
          <w:sz w:val="22"/>
          <w:szCs w:val="22"/>
        </w:rPr>
        <w:t xml:space="preserve"> years of demonstrated operational presence in </w:t>
      </w:r>
      <w:r w:rsidR="00F51617" w:rsidRPr="00F10160">
        <w:rPr>
          <w:color w:val="auto"/>
          <w:sz w:val="22"/>
          <w:szCs w:val="22"/>
        </w:rPr>
        <w:t>at least one of the above-mentioned states</w:t>
      </w:r>
      <w:r w:rsidRPr="00F10160">
        <w:rPr>
          <w:color w:val="auto"/>
          <w:sz w:val="22"/>
          <w:szCs w:val="22"/>
        </w:rPr>
        <w:t xml:space="preserve"> in South Sudan. (Evidence: legal registration certificate; proof of project office; organization profile, and recommendations from the funding partners, etc. required). </w:t>
      </w:r>
    </w:p>
    <w:p w14:paraId="61B06BAF" w14:textId="77777777" w:rsidR="00FC358F" w:rsidRPr="00F10160" w:rsidRDefault="00815963" w:rsidP="00FC358F">
      <w:pPr>
        <w:pStyle w:val="Default"/>
        <w:spacing w:after="39"/>
        <w:rPr>
          <w:color w:val="auto"/>
          <w:sz w:val="22"/>
          <w:szCs w:val="22"/>
        </w:rPr>
      </w:pPr>
      <w:r w:rsidRPr="00F10160">
        <w:rPr>
          <w:color w:val="auto"/>
          <w:sz w:val="22"/>
          <w:szCs w:val="22"/>
        </w:rPr>
        <w:t xml:space="preserve">3. Capacity of implementing projects with total annal budget of not less than </w:t>
      </w:r>
      <w:r w:rsidR="00F51617" w:rsidRPr="00F10160">
        <w:rPr>
          <w:color w:val="auto"/>
          <w:sz w:val="22"/>
          <w:szCs w:val="22"/>
        </w:rPr>
        <w:t>1</w:t>
      </w:r>
      <w:r w:rsidRPr="00F10160">
        <w:rPr>
          <w:color w:val="auto"/>
          <w:sz w:val="22"/>
          <w:szCs w:val="22"/>
        </w:rPr>
        <w:t>00,000 USD and above in last two years. (Evidence: Annual financial statements of the partner for year 202</w:t>
      </w:r>
      <w:r w:rsidR="00F51617" w:rsidRPr="00F10160">
        <w:rPr>
          <w:color w:val="auto"/>
          <w:sz w:val="22"/>
          <w:szCs w:val="22"/>
        </w:rPr>
        <w:t>2</w:t>
      </w:r>
      <w:r w:rsidRPr="00F10160">
        <w:rPr>
          <w:color w:val="auto"/>
          <w:sz w:val="22"/>
          <w:szCs w:val="22"/>
        </w:rPr>
        <w:t xml:space="preserve"> and 202</w:t>
      </w:r>
      <w:r w:rsidR="00F51617" w:rsidRPr="00F10160">
        <w:rPr>
          <w:color w:val="auto"/>
          <w:sz w:val="22"/>
          <w:szCs w:val="22"/>
        </w:rPr>
        <w:t>3</w:t>
      </w:r>
      <w:r w:rsidRPr="00F10160">
        <w:rPr>
          <w:color w:val="auto"/>
          <w:sz w:val="22"/>
          <w:szCs w:val="22"/>
        </w:rPr>
        <w:t>)</w:t>
      </w:r>
      <w:r w:rsidR="00FC358F" w:rsidRPr="00F10160">
        <w:rPr>
          <w:color w:val="auto"/>
          <w:sz w:val="22"/>
          <w:szCs w:val="22"/>
        </w:rPr>
        <w:t>.</w:t>
      </w:r>
    </w:p>
    <w:p w14:paraId="62EB6E4D" w14:textId="2EDFFB17" w:rsidR="00815963" w:rsidRPr="00F10160" w:rsidRDefault="00815963" w:rsidP="00FC358F">
      <w:pPr>
        <w:pStyle w:val="Default"/>
        <w:spacing w:after="39"/>
        <w:rPr>
          <w:color w:val="auto"/>
          <w:sz w:val="22"/>
          <w:szCs w:val="22"/>
        </w:rPr>
      </w:pPr>
      <w:r w:rsidRPr="00F10160">
        <w:rPr>
          <w:color w:val="auto"/>
          <w:sz w:val="22"/>
          <w:szCs w:val="22"/>
        </w:rPr>
        <w:t xml:space="preserve">4. Fully completed UNESCO Form 7-9A (Partner Identification form- ANNEX) and signed by senior management of the organization submitting the proposal. </w:t>
      </w:r>
    </w:p>
    <w:p w14:paraId="7CF35C22" w14:textId="77777777" w:rsidR="00815963" w:rsidRPr="00F10160" w:rsidRDefault="00815963" w:rsidP="00815963">
      <w:pPr>
        <w:pStyle w:val="Default"/>
        <w:spacing w:after="39"/>
        <w:rPr>
          <w:color w:val="auto"/>
          <w:sz w:val="22"/>
          <w:szCs w:val="22"/>
        </w:rPr>
      </w:pPr>
      <w:r w:rsidRPr="00F10160">
        <w:rPr>
          <w:color w:val="auto"/>
          <w:sz w:val="22"/>
          <w:szCs w:val="22"/>
        </w:rPr>
        <w:t xml:space="preserve">5. Latest Harmonized Approach to Cash Transfers (HACT) assessment report (if the partner was subject to HACT by any UN entity. the HACT documentation should be attached and confirmation that recommendations if any have been implemented should be provided). </w:t>
      </w:r>
    </w:p>
    <w:p w14:paraId="11C912D2" w14:textId="362BDB23" w:rsidR="00815963" w:rsidRPr="00F10160" w:rsidRDefault="00815963" w:rsidP="00FC358F">
      <w:pPr>
        <w:pStyle w:val="Default"/>
        <w:rPr>
          <w:color w:val="auto"/>
          <w:sz w:val="22"/>
          <w:szCs w:val="22"/>
        </w:rPr>
      </w:pPr>
      <w:r w:rsidRPr="00F10160">
        <w:rPr>
          <w:color w:val="auto"/>
          <w:sz w:val="22"/>
          <w:szCs w:val="22"/>
        </w:rPr>
        <w:t>6. Valid registration certificate issued by the Relief and Rehabilitation Commission to proof the “not-for-profit” status of the organization. Those with expired certificates at the time of the submission, should provide proof of submission of request for renewal. This may be in the form of a letter from the Commission.</w:t>
      </w:r>
    </w:p>
    <w:p w14:paraId="63A944DE" w14:textId="77777777" w:rsidR="00815963" w:rsidRPr="00F10160" w:rsidRDefault="00815963" w:rsidP="00815963">
      <w:pPr>
        <w:pStyle w:val="Default"/>
        <w:spacing w:after="37"/>
        <w:rPr>
          <w:color w:val="auto"/>
          <w:sz w:val="22"/>
          <w:szCs w:val="22"/>
        </w:rPr>
      </w:pPr>
      <w:r w:rsidRPr="00F10160">
        <w:rPr>
          <w:color w:val="auto"/>
          <w:sz w:val="22"/>
          <w:szCs w:val="22"/>
        </w:rPr>
        <w:t xml:space="preserve">7. In kind and/or financial contribution clearly stated in USD value and reflected in the proposed budget to show some form of shared costs, value for money. Contribution can </w:t>
      </w:r>
      <w:proofErr w:type="gramStart"/>
      <w:r w:rsidRPr="00F10160">
        <w:rPr>
          <w:color w:val="auto"/>
          <w:sz w:val="22"/>
          <w:szCs w:val="22"/>
        </w:rPr>
        <w:t>include:</w:t>
      </w:r>
      <w:proofErr w:type="gramEnd"/>
      <w:r w:rsidRPr="00F10160">
        <w:rPr>
          <w:color w:val="auto"/>
          <w:sz w:val="22"/>
          <w:szCs w:val="22"/>
        </w:rPr>
        <w:t xml:space="preserve"> portion of staff costs, of office rental, of supplies, etc. </w:t>
      </w:r>
    </w:p>
    <w:p w14:paraId="6FC3E9B6" w14:textId="77777777" w:rsidR="00815963" w:rsidRPr="00F10160" w:rsidRDefault="00815963" w:rsidP="00815963">
      <w:pPr>
        <w:pStyle w:val="Default"/>
        <w:spacing w:after="37"/>
        <w:rPr>
          <w:color w:val="auto"/>
          <w:sz w:val="22"/>
          <w:szCs w:val="22"/>
        </w:rPr>
      </w:pPr>
      <w:r w:rsidRPr="00F10160">
        <w:rPr>
          <w:color w:val="auto"/>
          <w:sz w:val="22"/>
          <w:szCs w:val="22"/>
        </w:rPr>
        <w:t xml:space="preserve">8. Evidence of policies and safeguards for cash management (financial policy, segregation of duties, and use of electronic/digital/bank account payments to third parties/individuals). </w:t>
      </w:r>
    </w:p>
    <w:p w14:paraId="49E9EEFE" w14:textId="77777777" w:rsidR="00815963" w:rsidRPr="00F10160" w:rsidRDefault="00815963" w:rsidP="00815963">
      <w:pPr>
        <w:pStyle w:val="Default"/>
        <w:spacing w:after="37"/>
        <w:rPr>
          <w:color w:val="auto"/>
          <w:sz w:val="22"/>
          <w:szCs w:val="22"/>
        </w:rPr>
      </w:pPr>
      <w:r w:rsidRPr="00F10160">
        <w:rPr>
          <w:color w:val="auto"/>
          <w:sz w:val="22"/>
          <w:szCs w:val="22"/>
        </w:rPr>
        <w:t xml:space="preserve">9. Non-existence on the Consolidated United Nations Security Council Sanctions List, or on the United Nations Global Marketplace vendor ineligibility list. Please see more information in Form 7-9A. </w:t>
      </w:r>
    </w:p>
    <w:p w14:paraId="2E825420" w14:textId="77777777" w:rsidR="00815963" w:rsidRPr="00F10160" w:rsidRDefault="00815963" w:rsidP="00815963">
      <w:pPr>
        <w:pStyle w:val="Default"/>
        <w:spacing w:after="37"/>
        <w:rPr>
          <w:color w:val="auto"/>
          <w:sz w:val="22"/>
          <w:szCs w:val="22"/>
        </w:rPr>
      </w:pPr>
      <w:r w:rsidRPr="00F10160">
        <w:rPr>
          <w:color w:val="auto"/>
          <w:sz w:val="22"/>
          <w:szCs w:val="22"/>
        </w:rPr>
        <w:t xml:space="preserve">10. Possession of adequate facilities and the capacity to manage the volume of funds and to implement the agreed-upon activities in an efficient and effective manner. </w:t>
      </w:r>
    </w:p>
    <w:p w14:paraId="58E21EE6" w14:textId="77777777" w:rsidR="00815963" w:rsidRPr="00F10160" w:rsidRDefault="00815963" w:rsidP="00815963">
      <w:pPr>
        <w:pStyle w:val="Default"/>
        <w:spacing w:after="37"/>
        <w:rPr>
          <w:color w:val="auto"/>
          <w:sz w:val="22"/>
          <w:szCs w:val="22"/>
        </w:rPr>
      </w:pPr>
      <w:r w:rsidRPr="00F10160">
        <w:rPr>
          <w:color w:val="auto"/>
          <w:sz w:val="22"/>
          <w:szCs w:val="22"/>
        </w:rPr>
        <w:t xml:space="preserve">11. Have the capacity to participate in planning, monitoring, and assurance activities. </w:t>
      </w:r>
    </w:p>
    <w:p w14:paraId="75C83E22" w14:textId="77777777" w:rsidR="00815963" w:rsidRPr="00F10160" w:rsidRDefault="00815963" w:rsidP="00815963">
      <w:pPr>
        <w:pStyle w:val="Default"/>
        <w:spacing w:after="37"/>
        <w:rPr>
          <w:color w:val="auto"/>
          <w:sz w:val="22"/>
          <w:szCs w:val="22"/>
        </w:rPr>
      </w:pPr>
      <w:r w:rsidRPr="00F10160">
        <w:rPr>
          <w:color w:val="auto"/>
          <w:sz w:val="22"/>
          <w:szCs w:val="22"/>
        </w:rPr>
        <w:t xml:space="preserve">12. Have managerial and record-keeping competencies, as well as permanent staff and the ability to manage and support staff in the field. </w:t>
      </w:r>
    </w:p>
    <w:p w14:paraId="1E04A3BA" w14:textId="77777777" w:rsidR="00815963" w:rsidRPr="00F10160" w:rsidRDefault="00815963" w:rsidP="00815963">
      <w:pPr>
        <w:pStyle w:val="Default"/>
        <w:rPr>
          <w:color w:val="auto"/>
          <w:sz w:val="22"/>
          <w:szCs w:val="22"/>
        </w:rPr>
      </w:pPr>
      <w:r w:rsidRPr="00F10160">
        <w:rPr>
          <w:color w:val="auto"/>
          <w:sz w:val="22"/>
          <w:szCs w:val="22"/>
        </w:rPr>
        <w:t xml:space="preserve">13. The partners not complying with the above mandatory criteria will be disqualified. </w:t>
      </w:r>
    </w:p>
    <w:p w14:paraId="3309D656" w14:textId="77777777" w:rsidR="00815963" w:rsidRPr="00F10160" w:rsidRDefault="00815963" w:rsidP="00815963">
      <w:pPr>
        <w:pStyle w:val="Default"/>
        <w:rPr>
          <w:color w:val="auto"/>
          <w:sz w:val="22"/>
          <w:szCs w:val="22"/>
        </w:rPr>
      </w:pPr>
    </w:p>
    <w:p w14:paraId="1B706AD3" w14:textId="77777777" w:rsidR="00815963" w:rsidRPr="00F10160" w:rsidRDefault="00815963" w:rsidP="00815963">
      <w:pPr>
        <w:pStyle w:val="Default"/>
        <w:rPr>
          <w:color w:val="auto"/>
          <w:sz w:val="22"/>
          <w:szCs w:val="22"/>
        </w:rPr>
      </w:pPr>
      <w:r w:rsidRPr="00F10160">
        <w:rPr>
          <w:b/>
          <w:bCs/>
          <w:color w:val="auto"/>
          <w:sz w:val="22"/>
          <w:szCs w:val="22"/>
        </w:rPr>
        <w:t xml:space="preserve">Desirable criteria </w:t>
      </w:r>
    </w:p>
    <w:p w14:paraId="42BEE25D" w14:textId="77777777" w:rsidR="00815963" w:rsidRPr="00F10160" w:rsidRDefault="00815963" w:rsidP="00815963">
      <w:pPr>
        <w:pStyle w:val="Default"/>
        <w:spacing w:after="37"/>
        <w:rPr>
          <w:color w:val="auto"/>
          <w:sz w:val="22"/>
          <w:szCs w:val="22"/>
        </w:rPr>
      </w:pPr>
      <w:r w:rsidRPr="00F10160">
        <w:rPr>
          <w:color w:val="auto"/>
          <w:sz w:val="22"/>
          <w:szCs w:val="22"/>
        </w:rPr>
        <w:t xml:space="preserve">1. Description of alignment to relevant SDGs, regional, national frameworks/strategies, and UNESCO mandate and </w:t>
      </w:r>
      <w:proofErr w:type="spellStart"/>
      <w:r w:rsidRPr="00F10160">
        <w:rPr>
          <w:color w:val="auto"/>
          <w:sz w:val="22"/>
          <w:szCs w:val="22"/>
        </w:rPr>
        <w:t>programmes</w:t>
      </w:r>
      <w:proofErr w:type="spellEnd"/>
      <w:r w:rsidRPr="00F10160">
        <w:rPr>
          <w:color w:val="auto"/>
          <w:sz w:val="22"/>
          <w:szCs w:val="22"/>
        </w:rPr>
        <w:t xml:space="preserve">. </w:t>
      </w:r>
    </w:p>
    <w:p w14:paraId="2FFEEF17" w14:textId="77777777" w:rsidR="00815963" w:rsidRPr="00F10160" w:rsidRDefault="00815963" w:rsidP="00815963">
      <w:pPr>
        <w:pStyle w:val="Default"/>
        <w:rPr>
          <w:color w:val="auto"/>
          <w:sz w:val="22"/>
          <w:szCs w:val="22"/>
        </w:rPr>
      </w:pPr>
      <w:r w:rsidRPr="00F10160">
        <w:rPr>
          <w:color w:val="auto"/>
          <w:sz w:val="22"/>
          <w:szCs w:val="22"/>
        </w:rPr>
        <w:t xml:space="preserve">1. UNESCO will assess the IP based on its programmatic, financial, managerial and logistical capacities. </w:t>
      </w:r>
    </w:p>
    <w:p w14:paraId="62270F02" w14:textId="77777777" w:rsidR="00815963" w:rsidRPr="00F10160" w:rsidRDefault="00815963" w:rsidP="00815963">
      <w:pPr>
        <w:pStyle w:val="Default"/>
        <w:rPr>
          <w:color w:val="auto"/>
          <w:sz w:val="22"/>
          <w:szCs w:val="22"/>
        </w:rPr>
      </w:pPr>
    </w:p>
    <w:p w14:paraId="0F77AEC6" w14:textId="77777777" w:rsidR="00815963" w:rsidRPr="00F10160" w:rsidRDefault="00815963" w:rsidP="00815963">
      <w:pPr>
        <w:pStyle w:val="Default"/>
        <w:rPr>
          <w:color w:val="auto"/>
          <w:sz w:val="22"/>
          <w:szCs w:val="22"/>
        </w:rPr>
      </w:pPr>
      <w:r w:rsidRPr="00F10160">
        <w:rPr>
          <w:b/>
          <w:bCs/>
          <w:color w:val="auto"/>
          <w:sz w:val="22"/>
          <w:szCs w:val="22"/>
        </w:rPr>
        <w:t xml:space="preserve">Application requirements </w:t>
      </w:r>
    </w:p>
    <w:p w14:paraId="7D789CBF" w14:textId="77777777" w:rsidR="00815963" w:rsidRPr="00F10160" w:rsidRDefault="00815963" w:rsidP="00815963">
      <w:pPr>
        <w:pStyle w:val="Default"/>
        <w:rPr>
          <w:color w:val="auto"/>
          <w:sz w:val="22"/>
          <w:szCs w:val="22"/>
        </w:rPr>
      </w:pPr>
      <w:r w:rsidRPr="00F10160">
        <w:rPr>
          <w:color w:val="auto"/>
          <w:sz w:val="22"/>
          <w:szCs w:val="22"/>
        </w:rPr>
        <w:t xml:space="preserve">All the items listed below must be nested and submitted in one folder. Each file in the folder must have a distinct name so that one can easily tell its content even without opening it and reading through. </w:t>
      </w:r>
    </w:p>
    <w:p w14:paraId="17223BC8" w14:textId="77777777" w:rsidR="00815963" w:rsidRPr="00F10160" w:rsidRDefault="00815963" w:rsidP="00815963">
      <w:pPr>
        <w:pStyle w:val="Default"/>
        <w:spacing w:after="39"/>
        <w:rPr>
          <w:color w:val="auto"/>
          <w:sz w:val="22"/>
          <w:szCs w:val="22"/>
        </w:rPr>
      </w:pPr>
      <w:r w:rsidRPr="00F10160">
        <w:rPr>
          <w:color w:val="auto"/>
          <w:sz w:val="22"/>
          <w:szCs w:val="22"/>
        </w:rPr>
        <w:t xml:space="preserve">1. Technical proposal based on the UNESCO template. </w:t>
      </w:r>
    </w:p>
    <w:p w14:paraId="3CC1E36D" w14:textId="29F184F5" w:rsidR="00FC358F" w:rsidRPr="00F10160" w:rsidRDefault="00815963" w:rsidP="00FC358F">
      <w:pPr>
        <w:pStyle w:val="Default"/>
        <w:spacing w:after="39"/>
        <w:rPr>
          <w:color w:val="auto"/>
          <w:sz w:val="22"/>
          <w:szCs w:val="22"/>
        </w:rPr>
      </w:pPr>
      <w:r w:rsidRPr="00F10160">
        <w:rPr>
          <w:color w:val="auto"/>
          <w:sz w:val="22"/>
          <w:szCs w:val="22"/>
        </w:rPr>
        <w:t xml:space="preserve">2. Financial proposal based on UNESCO template. The financial proposal should be in United Stated Dollars and should cover period of </w:t>
      </w:r>
      <w:r w:rsidR="00065B58" w:rsidRPr="00F10160">
        <w:rPr>
          <w:color w:val="auto"/>
          <w:sz w:val="22"/>
          <w:szCs w:val="22"/>
        </w:rPr>
        <w:t>2</w:t>
      </w:r>
      <w:r w:rsidRPr="00F10160">
        <w:rPr>
          <w:color w:val="auto"/>
          <w:sz w:val="22"/>
          <w:szCs w:val="22"/>
        </w:rPr>
        <w:t xml:space="preserve"> months beginning in the 1</w:t>
      </w:r>
      <w:r w:rsidR="00DC2C11" w:rsidRPr="00F10160">
        <w:rPr>
          <w:color w:val="auto"/>
          <w:sz w:val="22"/>
          <w:szCs w:val="22"/>
        </w:rPr>
        <w:t xml:space="preserve"> November</w:t>
      </w:r>
      <w:r w:rsidRPr="00F10160">
        <w:rPr>
          <w:color w:val="auto"/>
          <w:sz w:val="22"/>
          <w:szCs w:val="22"/>
        </w:rPr>
        <w:t xml:space="preserve"> 202</w:t>
      </w:r>
      <w:r w:rsidR="00DC2C11" w:rsidRPr="00F10160">
        <w:rPr>
          <w:color w:val="auto"/>
          <w:sz w:val="22"/>
          <w:szCs w:val="22"/>
        </w:rPr>
        <w:t>4</w:t>
      </w:r>
      <w:r w:rsidRPr="00F10160">
        <w:rPr>
          <w:color w:val="auto"/>
          <w:sz w:val="22"/>
          <w:szCs w:val="22"/>
        </w:rPr>
        <w:t xml:space="preserve">. The budget should be prepared in sufficient detail to justify resource requirements, demonstrate cost-effectiveness and, as far </w:t>
      </w:r>
      <w:r w:rsidRPr="00F10160">
        <w:rPr>
          <w:color w:val="auto"/>
          <w:sz w:val="22"/>
          <w:szCs w:val="22"/>
        </w:rPr>
        <w:lastRenderedPageBreak/>
        <w:t xml:space="preserve">as practicable, provide a breakdown of the resource requirements corresponding to the periods for which cash transfers will be made to the implementation partner. The proposed budget will be the basis of the funding agreement if the IPA is awarded. UNESCO reserves the right to negotiate the budget with preselected partners prior to the signature of the Implementation Partners Agreement. Budgets should be prepared for each activity and further broken down by budget line. “Added value' in terms of a monetary or in-kind contribution is a requirement for any Implementing Partner Agreement consideration. In the case of contribution in kind, the amount should be quantified. Overbudgeting for overhead cost will not be accepted. All costs should be direct cost directly attributable to the activities (overheads should be removed or minimized) Purchase of vehicles or motorcycles will not be considered. </w:t>
      </w:r>
    </w:p>
    <w:p w14:paraId="72EFB966" w14:textId="3056072F" w:rsidR="00815963" w:rsidRPr="00F10160" w:rsidRDefault="00815963" w:rsidP="00FC358F">
      <w:pPr>
        <w:pStyle w:val="Default"/>
        <w:spacing w:after="39"/>
        <w:rPr>
          <w:color w:val="auto"/>
          <w:sz w:val="22"/>
          <w:szCs w:val="22"/>
        </w:rPr>
      </w:pPr>
      <w:r w:rsidRPr="00F10160">
        <w:rPr>
          <w:color w:val="auto"/>
          <w:sz w:val="22"/>
          <w:szCs w:val="22"/>
        </w:rPr>
        <w:t xml:space="preserve">3. CVs of the key technical staff (a Project Manager, MEAL Manager, Project Assistant (Programme) and Project Assistant (Logistics Finnane) foreseen to support implementation of the project and the terms of reference for each. Minimum of a post-graduate level of education in related fields (such as Education, Social Sciences, Business Administration/Management, and Peace and Development Studies) and at least years of experience working with I/NGO is required for the position of Project Manager. The MEAL Officer should have a minimum of a post-graduate education level and minimum of 5 years’ experience in MEAL work with an I/NGO. A minimum of </w:t>
      </w:r>
      <w:proofErr w:type="gramStart"/>
      <w:r w:rsidRPr="00F10160">
        <w:rPr>
          <w:color w:val="auto"/>
          <w:sz w:val="22"/>
          <w:szCs w:val="22"/>
        </w:rPr>
        <w:t>first degree</w:t>
      </w:r>
      <w:proofErr w:type="gramEnd"/>
      <w:r w:rsidRPr="00F10160">
        <w:rPr>
          <w:color w:val="auto"/>
          <w:sz w:val="22"/>
          <w:szCs w:val="22"/>
        </w:rPr>
        <w:t xml:space="preserve"> level of education and three years in </w:t>
      </w:r>
      <w:proofErr w:type="spellStart"/>
      <w:r w:rsidRPr="00F10160">
        <w:rPr>
          <w:color w:val="auto"/>
          <w:sz w:val="22"/>
          <w:szCs w:val="22"/>
        </w:rPr>
        <w:t>programme</w:t>
      </w:r>
      <w:proofErr w:type="spellEnd"/>
      <w:r w:rsidRPr="00F10160">
        <w:rPr>
          <w:color w:val="auto"/>
          <w:sz w:val="22"/>
          <w:szCs w:val="22"/>
        </w:rPr>
        <w:t xml:space="preserve"> execution and finance administration is required for the positions of Project Assistant (Programme) and Project Assistant (Logistics and Finance) respectively. </w:t>
      </w:r>
    </w:p>
    <w:p w14:paraId="71A87304" w14:textId="13D535AE" w:rsidR="00815963" w:rsidRPr="00F10160" w:rsidRDefault="00815963" w:rsidP="00815963">
      <w:pPr>
        <w:pStyle w:val="Default"/>
        <w:spacing w:after="39"/>
        <w:rPr>
          <w:color w:val="auto"/>
          <w:sz w:val="22"/>
          <w:szCs w:val="22"/>
        </w:rPr>
      </w:pPr>
      <w:r w:rsidRPr="00F10160">
        <w:rPr>
          <w:color w:val="auto"/>
          <w:sz w:val="22"/>
          <w:szCs w:val="22"/>
        </w:rPr>
        <w:t>4. External audit report of annual financial statements of the partner for year 202</w:t>
      </w:r>
      <w:r w:rsidR="00FC358F" w:rsidRPr="00F10160">
        <w:rPr>
          <w:color w:val="auto"/>
          <w:sz w:val="22"/>
          <w:szCs w:val="22"/>
        </w:rPr>
        <w:t>2</w:t>
      </w:r>
      <w:r w:rsidRPr="00F10160">
        <w:rPr>
          <w:color w:val="auto"/>
          <w:sz w:val="22"/>
          <w:szCs w:val="22"/>
        </w:rPr>
        <w:t xml:space="preserve"> and 202</w:t>
      </w:r>
      <w:r w:rsidR="00FC358F" w:rsidRPr="00F10160">
        <w:rPr>
          <w:color w:val="auto"/>
          <w:sz w:val="22"/>
          <w:szCs w:val="22"/>
        </w:rPr>
        <w:t>3</w:t>
      </w:r>
      <w:r w:rsidRPr="00F10160">
        <w:rPr>
          <w:color w:val="auto"/>
          <w:sz w:val="22"/>
          <w:szCs w:val="22"/>
        </w:rPr>
        <w:t xml:space="preserve"> conducted by a qualified audit firm. </w:t>
      </w:r>
    </w:p>
    <w:p w14:paraId="6651660C" w14:textId="77777777" w:rsidR="00815963" w:rsidRPr="00F10160" w:rsidRDefault="00815963" w:rsidP="00815963">
      <w:pPr>
        <w:pStyle w:val="Default"/>
        <w:spacing w:after="39"/>
        <w:rPr>
          <w:color w:val="auto"/>
          <w:sz w:val="22"/>
          <w:szCs w:val="22"/>
        </w:rPr>
      </w:pPr>
      <w:r w:rsidRPr="00F10160">
        <w:rPr>
          <w:color w:val="auto"/>
          <w:sz w:val="22"/>
          <w:szCs w:val="22"/>
        </w:rPr>
        <w:t xml:space="preserve">5. Policy frameworks in place (preferably covering fraud and corrupt practices, gender equality, personal data protection and privacy, protection from sexual abuse and exploitation (PSEA), human resource management, procurement, and assets and inventory management). </w:t>
      </w:r>
    </w:p>
    <w:p w14:paraId="5BC4D577" w14:textId="77777777" w:rsidR="00815963" w:rsidRPr="00F10160" w:rsidRDefault="00815963" w:rsidP="00815963">
      <w:pPr>
        <w:pStyle w:val="Default"/>
        <w:rPr>
          <w:color w:val="auto"/>
          <w:sz w:val="22"/>
          <w:szCs w:val="22"/>
        </w:rPr>
      </w:pPr>
      <w:r w:rsidRPr="00F10160">
        <w:rPr>
          <w:color w:val="auto"/>
          <w:sz w:val="22"/>
          <w:szCs w:val="22"/>
        </w:rPr>
        <w:t xml:space="preserve">6. Completed and signed UNESCO Form 7-9A. </w:t>
      </w:r>
    </w:p>
    <w:p w14:paraId="293E20C8" w14:textId="77777777" w:rsidR="00815963" w:rsidRPr="00F10160" w:rsidRDefault="00815963" w:rsidP="00815963">
      <w:pPr>
        <w:pStyle w:val="Default"/>
        <w:rPr>
          <w:color w:val="auto"/>
          <w:sz w:val="22"/>
          <w:szCs w:val="22"/>
        </w:rPr>
      </w:pPr>
    </w:p>
    <w:p w14:paraId="4F7C575F" w14:textId="77777777" w:rsidR="00815963" w:rsidRPr="00F10160" w:rsidRDefault="00815963" w:rsidP="00815963">
      <w:pPr>
        <w:pStyle w:val="Default"/>
        <w:rPr>
          <w:color w:val="auto"/>
          <w:sz w:val="22"/>
          <w:szCs w:val="22"/>
        </w:rPr>
      </w:pPr>
      <w:r w:rsidRPr="00F10160">
        <w:rPr>
          <w:b/>
          <w:bCs/>
          <w:color w:val="auto"/>
          <w:sz w:val="22"/>
          <w:szCs w:val="22"/>
        </w:rPr>
        <w:t xml:space="preserve">Evaluation and Selection Process </w:t>
      </w:r>
    </w:p>
    <w:p w14:paraId="661618B1" w14:textId="77777777" w:rsidR="00434188" w:rsidRPr="00F10160" w:rsidRDefault="00434188" w:rsidP="00434188">
      <w:pPr>
        <w:spacing w:after="0"/>
        <w:rPr>
          <w:rFonts w:ascii="Calibri" w:hAnsi="Calibri" w:cs="Calibri"/>
          <w:sz w:val="22"/>
          <w:szCs w:val="22"/>
        </w:rPr>
      </w:pPr>
    </w:p>
    <w:p w14:paraId="7CC6496C" w14:textId="15666447" w:rsidR="00B26B01" w:rsidRPr="00F10160" w:rsidRDefault="00434188" w:rsidP="00434188">
      <w:pPr>
        <w:spacing w:after="0"/>
        <w:rPr>
          <w:rFonts w:ascii="Calibri" w:hAnsi="Calibri" w:cs="Calibri"/>
          <w:b/>
          <w:bCs/>
          <w:sz w:val="22"/>
          <w:szCs w:val="22"/>
        </w:rPr>
      </w:pPr>
      <w:r w:rsidRPr="00F10160">
        <w:rPr>
          <w:rFonts w:ascii="Calibri" w:hAnsi="Calibri" w:cs="Calibri"/>
          <w:b/>
          <w:bCs/>
          <w:sz w:val="22"/>
          <w:szCs w:val="22"/>
        </w:rPr>
        <w:t>Below are indicative scores:</w:t>
      </w:r>
    </w:p>
    <w:tbl>
      <w:tblPr>
        <w:tblStyle w:val="TableGrid"/>
        <w:tblW w:w="0" w:type="auto"/>
        <w:tblLook w:val="04A0" w:firstRow="1" w:lastRow="0" w:firstColumn="1" w:lastColumn="0" w:noHBand="0" w:noVBand="1"/>
      </w:tblPr>
      <w:tblGrid>
        <w:gridCol w:w="355"/>
        <w:gridCol w:w="5670"/>
        <w:gridCol w:w="1859"/>
        <w:gridCol w:w="494"/>
        <w:gridCol w:w="488"/>
        <w:gridCol w:w="484"/>
      </w:tblGrid>
      <w:tr w:rsidR="00434188" w:rsidRPr="00F10160" w14:paraId="3F98233C" w14:textId="77777777" w:rsidTr="00434188">
        <w:tc>
          <w:tcPr>
            <w:tcW w:w="355" w:type="dxa"/>
          </w:tcPr>
          <w:p w14:paraId="40C3815B" w14:textId="628105F4" w:rsidR="00434188" w:rsidRPr="00F10160" w:rsidRDefault="00434188" w:rsidP="00434188">
            <w:pPr>
              <w:rPr>
                <w:rFonts w:ascii="Calibri" w:hAnsi="Calibri" w:cs="Calibri"/>
                <w:b/>
                <w:bCs/>
                <w:sz w:val="22"/>
                <w:szCs w:val="22"/>
              </w:rPr>
            </w:pPr>
          </w:p>
        </w:tc>
        <w:tc>
          <w:tcPr>
            <w:tcW w:w="5670" w:type="dxa"/>
          </w:tcPr>
          <w:p w14:paraId="27464598" w14:textId="3C473388" w:rsidR="00434188" w:rsidRPr="00F10160" w:rsidRDefault="00434188" w:rsidP="00434188">
            <w:pPr>
              <w:rPr>
                <w:rFonts w:ascii="Calibri" w:hAnsi="Calibri" w:cs="Calibri"/>
                <w:b/>
                <w:bCs/>
                <w:sz w:val="22"/>
                <w:szCs w:val="22"/>
              </w:rPr>
            </w:pPr>
            <w:r w:rsidRPr="00F10160">
              <w:rPr>
                <w:rFonts w:ascii="Calibri" w:hAnsi="Calibri" w:cs="Calibri"/>
                <w:b/>
                <w:bCs/>
                <w:sz w:val="22"/>
                <w:szCs w:val="22"/>
              </w:rPr>
              <w:t>Technical proposal evaluation</w:t>
            </w:r>
          </w:p>
        </w:tc>
        <w:tc>
          <w:tcPr>
            <w:tcW w:w="1859" w:type="dxa"/>
          </w:tcPr>
          <w:p w14:paraId="4DE8A146" w14:textId="03F95146" w:rsidR="00434188" w:rsidRPr="00F10160" w:rsidRDefault="00434188" w:rsidP="00434188">
            <w:pPr>
              <w:rPr>
                <w:rFonts w:ascii="Calibri" w:hAnsi="Calibri" w:cs="Calibri"/>
                <w:b/>
                <w:bCs/>
                <w:sz w:val="22"/>
                <w:szCs w:val="22"/>
              </w:rPr>
            </w:pPr>
            <w:r w:rsidRPr="00F10160">
              <w:rPr>
                <w:rFonts w:ascii="Calibri" w:hAnsi="Calibri" w:cs="Calibri"/>
                <w:b/>
                <w:bCs/>
                <w:sz w:val="22"/>
                <w:szCs w:val="22"/>
              </w:rPr>
              <w:t>Points obtainable</w:t>
            </w:r>
          </w:p>
        </w:tc>
        <w:tc>
          <w:tcPr>
            <w:tcW w:w="1466" w:type="dxa"/>
            <w:gridSpan w:val="3"/>
          </w:tcPr>
          <w:p w14:paraId="3A6B408D" w14:textId="7B5D9D54" w:rsidR="00434188" w:rsidRPr="00F10160" w:rsidRDefault="00434188" w:rsidP="00434188">
            <w:pPr>
              <w:rPr>
                <w:rFonts w:ascii="Calibri" w:hAnsi="Calibri" w:cs="Calibri"/>
                <w:b/>
                <w:bCs/>
                <w:sz w:val="22"/>
                <w:szCs w:val="22"/>
              </w:rPr>
            </w:pPr>
            <w:r w:rsidRPr="00F10160">
              <w:rPr>
                <w:rFonts w:ascii="Calibri" w:hAnsi="Calibri" w:cs="Calibri"/>
                <w:b/>
                <w:bCs/>
                <w:sz w:val="22"/>
                <w:szCs w:val="22"/>
              </w:rPr>
              <w:t>Organizations</w:t>
            </w:r>
          </w:p>
        </w:tc>
      </w:tr>
      <w:tr w:rsidR="00434188" w:rsidRPr="00F10160" w14:paraId="662E282B" w14:textId="77777777" w:rsidTr="00434188">
        <w:tc>
          <w:tcPr>
            <w:tcW w:w="355" w:type="dxa"/>
          </w:tcPr>
          <w:p w14:paraId="4A8C8F9C" w14:textId="0ACE3D0F" w:rsidR="00434188" w:rsidRPr="00F10160" w:rsidRDefault="00ED023C" w:rsidP="00434188">
            <w:pPr>
              <w:rPr>
                <w:rFonts w:ascii="Calibri" w:hAnsi="Calibri" w:cs="Calibri"/>
                <w:b/>
                <w:bCs/>
                <w:sz w:val="22"/>
                <w:szCs w:val="22"/>
              </w:rPr>
            </w:pPr>
            <w:r w:rsidRPr="00F10160">
              <w:rPr>
                <w:rFonts w:ascii="Calibri" w:hAnsi="Calibri" w:cs="Calibri"/>
                <w:b/>
                <w:bCs/>
                <w:sz w:val="22"/>
                <w:szCs w:val="22"/>
              </w:rPr>
              <w:t>#</w:t>
            </w:r>
          </w:p>
        </w:tc>
        <w:tc>
          <w:tcPr>
            <w:tcW w:w="5670" w:type="dxa"/>
          </w:tcPr>
          <w:p w14:paraId="0D6E3335" w14:textId="2074AF2D" w:rsidR="00434188" w:rsidRPr="00F10160" w:rsidRDefault="00434188" w:rsidP="00434188">
            <w:pPr>
              <w:pStyle w:val="Default"/>
              <w:rPr>
                <w:sz w:val="22"/>
                <w:szCs w:val="22"/>
              </w:rPr>
            </w:pPr>
          </w:p>
        </w:tc>
        <w:tc>
          <w:tcPr>
            <w:tcW w:w="1859" w:type="dxa"/>
          </w:tcPr>
          <w:p w14:paraId="57AF426F" w14:textId="77777777" w:rsidR="00434188" w:rsidRPr="00F10160" w:rsidRDefault="00434188" w:rsidP="00434188">
            <w:pPr>
              <w:rPr>
                <w:rFonts w:ascii="Calibri" w:hAnsi="Calibri" w:cs="Calibri"/>
                <w:b/>
                <w:bCs/>
                <w:sz w:val="22"/>
                <w:szCs w:val="22"/>
              </w:rPr>
            </w:pPr>
          </w:p>
        </w:tc>
        <w:tc>
          <w:tcPr>
            <w:tcW w:w="494" w:type="dxa"/>
          </w:tcPr>
          <w:p w14:paraId="79946F6B" w14:textId="052CDC90" w:rsidR="00434188" w:rsidRPr="00F10160" w:rsidRDefault="00434188" w:rsidP="00434188">
            <w:pPr>
              <w:rPr>
                <w:rFonts w:ascii="Calibri" w:hAnsi="Calibri" w:cs="Calibri"/>
                <w:sz w:val="22"/>
                <w:szCs w:val="22"/>
              </w:rPr>
            </w:pPr>
            <w:r w:rsidRPr="00F10160">
              <w:rPr>
                <w:rFonts w:ascii="Calibri" w:hAnsi="Calibri" w:cs="Calibri"/>
                <w:sz w:val="22"/>
                <w:szCs w:val="22"/>
              </w:rPr>
              <w:t>A</w:t>
            </w:r>
          </w:p>
        </w:tc>
        <w:tc>
          <w:tcPr>
            <w:tcW w:w="488" w:type="dxa"/>
          </w:tcPr>
          <w:p w14:paraId="4E834692" w14:textId="25163DAE" w:rsidR="00434188" w:rsidRPr="00F10160" w:rsidRDefault="00434188" w:rsidP="00434188">
            <w:pPr>
              <w:rPr>
                <w:rFonts w:ascii="Calibri" w:hAnsi="Calibri" w:cs="Calibri"/>
                <w:sz w:val="22"/>
                <w:szCs w:val="22"/>
              </w:rPr>
            </w:pPr>
            <w:r w:rsidRPr="00F10160">
              <w:rPr>
                <w:rFonts w:ascii="Calibri" w:hAnsi="Calibri" w:cs="Calibri"/>
                <w:sz w:val="22"/>
                <w:szCs w:val="22"/>
              </w:rPr>
              <w:t>B</w:t>
            </w:r>
          </w:p>
        </w:tc>
        <w:tc>
          <w:tcPr>
            <w:tcW w:w="484" w:type="dxa"/>
          </w:tcPr>
          <w:p w14:paraId="1D371BB1" w14:textId="61490CFB" w:rsidR="00434188" w:rsidRPr="00F10160" w:rsidRDefault="00434188" w:rsidP="00434188">
            <w:pPr>
              <w:rPr>
                <w:rFonts w:ascii="Calibri" w:hAnsi="Calibri" w:cs="Calibri"/>
                <w:sz w:val="22"/>
                <w:szCs w:val="22"/>
              </w:rPr>
            </w:pPr>
            <w:r w:rsidRPr="00F10160">
              <w:rPr>
                <w:rFonts w:ascii="Calibri" w:hAnsi="Calibri" w:cs="Calibri"/>
                <w:sz w:val="22"/>
                <w:szCs w:val="22"/>
              </w:rPr>
              <w:t>C</w:t>
            </w:r>
          </w:p>
        </w:tc>
      </w:tr>
      <w:tr w:rsidR="00ED023C" w:rsidRPr="00F10160" w14:paraId="400593FF" w14:textId="77777777" w:rsidTr="00434188">
        <w:tc>
          <w:tcPr>
            <w:tcW w:w="355" w:type="dxa"/>
          </w:tcPr>
          <w:p w14:paraId="58222981" w14:textId="340C9A1C" w:rsidR="00ED023C" w:rsidRPr="00F10160" w:rsidRDefault="00ED023C" w:rsidP="00434188">
            <w:pPr>
              <w:rPr>
                <w:rFonts w:ascii="Calibri" w:hAnsi="Calibri" w:cs="Calibri"/>
                <w:b/>
                <w:bCs/>
                <w:sz w:val="22"/>
                <w:szCs w:val="22"/>
              </w:rPr>
            </w:pPr>
            <w:r w:rsidRPr="00F10160">
              <w:rPr>
                <w:rFonts w:ascii="Calibri" w:hAnsi="Calibri" w:cs="Calibri"/>
                <w:b/>
                <w:bCs/>
                <w:sz w:val="22"/>
                <w:szCs w:val="22"/>
              </w:rPr>
              <w:t>1</w:t>
            </w:r>
          </w:p>
        </w:tc>
        <w:tc>
          <w:tcPr>
            <w:tcW w:w="5670" w:type="dxa"/>
          </w:tcPr>
          <w:p w14:paraId="319F16A0" w14:textId="0E48CAE8" w:rsidR="00ED023C" w:rsidRPr="00F10160" w:rsidRDefault="00ED023C" w:rsidP="00434188">
            <w:pPr>
              <w:pStyle w:val="Default"/>
              <w:rPr>
                <w:b/>
                <w:bCs/>
                <w:sz w:val="22"/>
                <w:szCs w:val="22"/>
              </w:rPr>
            </w:pPr>
            <w:r w:rsidRPr="00F10160">
              <w:rPr>
                <w:b/>
                <w:bCs/>
                <w:sz w:val="22"/>
                <w:szCs w:val="22"/>
              </w:rPr>
              <w:t>Eligibility and qualifications of an entity submitting proposal</w:t>
            </w:r>
          </w:p>
        </w:tc>
        <w:tc>
          <w:tcPr>
            <w:tcW w:w="1859" w:type="dxa"/>
          </w:tcPr>
          <w:p w14:paraId="3F33CD05" w14:textId="4DE58A80" w:rsidR="00ED023C" w:rsidRPr="00F10160" w:rsidRDefault="00ED023C" w:rsidP="00434188">
            <w:pPr>
              <w:rPr>
                <w:rFonts w:ascii="Calibri" w:hAnsi="Calibri" w:cs="Calibri"/>
                <w:b/>
                <w:bCs/>
                <w:sz w:val="22"/>
                <w:szCs w:val="22"/>
              </w:rPr>
            </w:pPr>
            <w:r w:rsidRPr="00F10160">
              <w:rPr>
                <w:rFonts w:ascii="Calibri" w:hAnsi="Calibri" w:cs="Calibri"/>
                <w:b/>
                <w:bCs/>
                <w:sz w:val="22"/>
                <w:szCs w:val="22"/>
              </w:rPr>
              <w:t>250</w:t>
            </w:r>
          </w:p>
        </w:tc>
        <w:tc>
          <w:tcPr>
            <w:tcW w:w="494" w:type="dxa"/>
          </w:tcPr>
          <w:p w14:paraId="414D0AF0" w14:textId="77777777" w:rsidR="00ED023C" w:rsidRPr="00F10160" w:rsidRDefault="00ED023C" w:rsidP="00434188">
            <w:pPr>
              <w:rPr>
                <w:rFonts w:ascii="Calibri" w:hAnsi="Calibri" w:cs="Calibri"/>
                <w:sz w:val="22"/>
                <w:szCs w:val="22"/>
              </w:rPr>
            </w:pPr>
          </w:p>
        </w:tc>
        <w:tc>
          <w:tcPr>
            <w:tcW w:w="488" w:type="dxa"/>
          </w:tcPr>
          <w:p w14:paraId="43A97606" w14:textId="77777777" w:rsidR="00ED023C" w:rsidRPr="00F10160" w:rsidRDefault="00ED023C" w:rsidP="00434188">
            <w:pPr>
              <w:rPr>
                <w:rFonts w:ascii="Calibri" w:hAnsi="Calibri" w:cs="Calibri"/>
                <w:sz w:val="22"/>
                <w:szCs w:val="22"/>
              </w:rPr>
            </w:pPr>
          </w:p>
        </w:tc>
        <w:tc>
          <w:tcPr>
            <w:tcW w:w="484" w:type="dxa"/>
          </w:tcPr>
          <w:p w14:paraId="5721A00A" w14:textId="77777777" w:rsidR="00ED023C" w:rsidRPr="00F10160" w:rsidRDefault="00ED023C" w:rsidP="00434188">
            <w:pPr>
              <w:rPr>
                <w:rFonts w:ascii="Calibri" w:hAnsi="Calibri" w:cs="Calibri"/>
                <w:sz w:val="22"/>
                <w:szCs w:val="22"/>
              </w:rPr>
            </w:pPr>
          </w:p>
        </w:tc>
      </w:tr>
      <w:tr w:rsidR="00434188" w:rsidRPr="00F10160" w14:paraId="10E0A5B7" w14:textId="77777777" w:rsidTr="00434188">
        <w:tc>
          <w:tcPr>
            <w:tcW w:w="355" w:type="dxa"/>
          </w:tcPr>
          <w:p w14:paraId="13C7F5C8" w14:textId="77777777" w:rsidR="00434188" w:rsidRPr="00F10160" w:rsidRDefault="00434188" w:rsidP="00434188">
            <w:pPr>
              <w:rPr>
                <w:rFonts w:ascii="Calibri" w:hAnsi="Calibri" w:cs="Calibri"/>
                <w:b/>
                <w:bCs/>
                <w:sz w:val="22"/>
                <w:szCs w:val="22"/>
              </w:rPr>
            </w:pPr>
          </w:p>
        </w:tc>
        <w:tc>
          <w:tcPr>
            <w:tcW w:w="5670" w:type="dxa"/>
          </w:tcPr>
          <w:p w14:paraId="7381C6CF" w14:textId="77777777" w:rsidR="00434188" w:rsidRPr="00F10160" w:rsidRDefault="00434188" w:rsidP="00434188">
            <w:pPr>
              <w:pStyle w:val="Default"/>
              <w:rPr>
                <w:color w:val="auto"/>
                <w:sz w:val="22"/>
                <w:szCs w:val="22"/>
              </w:rPr>
            </w:pPr>
          </w:p>
          <w:p w14:paraId="54B4E7A4" w14:textId="5C662732" w:rsidR="00434188" w:rsidRPr="00F10160" w:rsidRDefault="00434188" w:rsidP="00434188">
            <w:pPr>
              <w:pStyle w:val="Default"/>
              <w:rPr>
                <w:sz w:val="22"/>
                <w:szCs w:val="22"/>
              </w:rPr>
            </w:pPr>
            <w:proofErr w:type="spellStart"/>
            <w:r w:rsidRPr="00F10160">
              <w:rPr>
                <w:sz w:val="22"/>
                <w:szCs w:val="22"/>
              </w:rPr>
              <w:t>i</w:t>
            </w:r>
            <w:proofErr w:type="spellEnd"/>
            <w:r w:rsidRPr="00F10160">
              <w:rPr>
                <w:sz w:val="22"/>
                <w:szCs w:val="22"/>
              </w:rPr>
              <w:t>) The partner has relevant technical experience in implementing youth promotion initiatives/</w:t>
            </w:r>
            <w:proofErr w:type="spellStart"/>
            <w:r w:rsidRPr="00F10160">
              <w:rPr>
                <w:sz w:val="22"/>
                <w:szCs w:val="22"/>
              </w:rPr>
              <w:t>programmes</w:t>
            </w:r>
            <w:proofErr w:type="spellEnd"/>
            <w:r w:rsidRPr="00F10160">
              <w:rPr>
                <w:sz w:val="22"/>
                <w:szCs w:val="22"/>
              </w:rPr>
              <w:t xml:space="preserve"> in South Sudan (proven track record of capacity of implementing projects of 100,000 USD in the last 2 years for at least 2 projects certified by donors/stakeholders (80 points).</w:t>
            </w:r>
          </w:p>
          <w:p w14:paraId="3B275379" w14:textId="107E67F0" w:rsidR="00434188" w:rsidRPr="00F10160" w:rsidRDefault="00434188" w:rsidP="00434188">
            <w:pPr>
              <w:pStyle w:val="Default"/>
              <w:rPr>
                <w:sz w:val="22"/>
                <w:szCs w:val="22"/>
              </w:rPr>
            </w:pPr>
            <w:r w:rsidRPr="00F10160">
              <w:rPr>
                <w:sz w:val="22"/>
                <w:szCs w:val="22"/>
              </w:rPr>
              <w:t xml:space="preserve">ii) Organization has a geographical and operational presence in at least five State e.g., evidence of project office and/or community-based presence and can demonstrate the strategic value such presence brings to the project (80 points). </w:t>
            </w:r>
          </w:p>
          <w:p w14:paraId="6EBA1B13" w14:textId="082C9E7B" w:rsidR="00434188" w:rsidRPr="00F10160" w:rsidRDefault="00434188" w:rsidP="00434188">
            <w:pPr>
              <w:pStyle w:val="Default"/>
              <w:rPr>
                <w:sz w:val="22"/>
                <w:szCs w:val="22"/>
              </w:rPr>
            </w:pPr>
            <w:r w:rsidRPr="00F10160">
              <w:rPr>
                <w:sz w:val="22"/>
                <w:szCs w:val="22"/>
              </w:rPr>
              <w:lastRenderedPageBreak/>
              <w:t xml:space="preserve">iii) Partner has financial capacities/ clean audit opinion on corporate accounts in respect to annual revenue, limited debts, and positive annual results (40 points). </w:t>
            </w:r>
          </w:p>
          <w:p w14:paraId="74ADAB19" w14:textId="041C984A" w:rsidR="00434188" w:rsidRPr="00F10160" w:rsidRDefault="00ED023C" w:rsidP="00434188">
            <w:pPr>
              <w:pStyle w:val="Default"/>
              <w:rPr>
                <w:sz w:val="22"/>
                <w:szCs w:val="22"/>
              </w:rPr>
            </w:pPr>
            <w:r w:rsidRPr="00F10160">
              <w:rPr>
                <w:sz w:val="22"/>
                <w:szCs w:val="22"/>
              </w:rPr>
              <w:t xml:space="preserve">iv) </w:t>
            </w:r>
            <w:r w:rsidR="00434188" w:rsidRPr="00F10160">
              <w:rPr>
                <w:sz w:val="22"/>
                <w:szCs w:val="22"/>
              </w:rPr>
              <w:t>Partner has strong policies in place: protection from sexual exploitation (PSEA), personal data protection, strong cash management (50 points</w:t>
            </w:r>
          </w:p>
          <w:p w14:paraId="792CAC4E" w14:textId="77777777" w:rsidR="00434188" w:rsidRPr="00F10160" w:rsidRDefault="00434188" w:rsidP="00434188">
            <w:pPr>
              <w:rPr>
                <w:rFonts w:ascii="Calibri" w:hAnsi="Calibri" w:cs="Calibri"/>
                <w:b/>
                <w:bCs/>
                <w:sz w:val="22"/>
                <w:szCs w:val="22"/>
              </w:rPr>
            </w:pPr>
          </w:p>
        </w:tc>
        <w:tc>
          <w:tcPr>
            <w:tcW w:w="1859" w:type="dxa"/>
          </w:tcPr>
          <w:p w14:paraId="41DB2472" w14:textId="3A501143" w:rsidR="00434188" w:rsidRPr="00F10160" w:rsidRDefault="00434188" w:rsidP="00434188">
            <w:pPr>
              <w:rPr>
                <w:rFonts w:ascii="Calibri" w:hAnsi="Calibri" w:cs="Calibri"/>
                <w:b/>
                <w:bCs/>
                <w:sz w:val="22"/>
                <w:szCs w:val="22"/>
              </w:rPr>
            </w:pPr>
          </w:p>
        </w:tc>
        <w:tc>
          <w:tcPr>
            <w:tcW w:w="494" w:type="dxa"/>
          </w:tcPr>
          <w:p w14:paraId="0F1209DA" w14:textId="77777777" w:rsidR="00434188" w:rsidRPr="00F10160" w:rsidRDefault="00434188" w:rsidP="00434188">
            <w:pPr>
              <w:rPr>
                <w:rFonts w:ascii="Calibri" w:hAnsi="Calibri" w:cs="Calibri"/>
                <w:b/>
                <w:bCs/>
                <w:sz w:val="22"/>
                <w:szCs w:val="22"/>
              </w:rPr>
            </w:pPr>
          </w:p>
        </w:tc>
        <w:tc>
          <w:tcPr>
            <w:tcW w:w="488" w:type="dxa"/>
          </w:tcPr>
          <w:p w14:paraId="42109AE8" w14:textId="77777777" w:rsidR="00434188" w:rsidRPr="00F10160" w:rsidRDefault="00434188" w:rsidP="00434188">
            <w:pPr>
              <w:rPr>
                <w:rFonts w:ascii="Calibri" w:hAnsi="Calibri" w:cs="Calibri"/>
                <w:b/>
                <w:bCs/>
                <w:sz w:val="22"/>
                <w:szCs w:val="22"/>
              </w:rPr>
            </w:pPr>
          </w:p>
        </w:tc>
        <w:tc>
          <w:tcPr>
            <w:tcW w:w="484" w:type="dxa"/>
          </w:tcPr>
          <w:p w14:paraId="12137E4A" w14:textId="77777777" w:rsidR="00434188" w:rsidRPr="00F10160" w:rsidRDefault="00434188" w:rsidP="00434188">
            <w:pPr>
              <w:rPr>
                <w:rFonts w:ascii="Calibri" w:hAnsi="Calibri" w:cs="Calibri"/>
                <w:b/>
                <w:bCs/>
                <w:sz w:val="22"/>
                <w:szCs w:val="22"/>
              </w:rPr>
            </w:pPr>
          </w:p>
        </w:tc>
      </w:tr>
      <w:tr w:rsidR="00434188" w:rsidRPr="00F10160" w14:paraId="035ECBFD" w14:textId="77777777" w:rsidTr="00434188">
        <w:tc>
          <w:tcPr>
            <w:tcW w:w="355" w:type="dxa"/>
          </w:tcPr>
          <w:p w14:paraId="1542263D" w14:textId="580B0B3D" w:rsidR="00434188" w:rsidRPr="00F10160" w:rsidRDefault="00ED023C" w:rsidP="00434188">
            <w:pPr>
              <w:rPr>
                <w:rFonts w:ascii="Calibri" w:hAnsi="Calibri" w:cs="Calibri"/>
                <w:b/>
                <w:bCs/>
                <w:sz w:val="22"/>
                <w:szCs w:val="22"/>
              </w:rPr>
            </w:pPr>
            <w:r w:rsidRPr="00F10160">
              <w:rPr>
                <w:rFonts w:ascii="Calibri" w:hAnsi="Calibri" w:cs="Calibri"/>
                <w:b/>
                <w:bCs/>
                <w:sz w:val="22"/>
                <w:szCs w:val="22"/>
              </w:rPr>
              <w:t>2</w:t>
            </w:r>
          </w:p>
        </w:tc>
        <w:tc>
          <w:tcPr>
            <w:tcW w:w="5670" w:type="dxa"/>
          </w:tcPr>
          <w:p w14:paraId="25C1B3F3" w14:textId="61327F99" w:rsidR="00434188" w:rsidRPr="00F10160" w:rsidRDefault="00ED023C" w:rsidP="00ED023C">
            <w:pPr>
              <w:pStyle w:val="Default"/>
              <w:rPr>
                <w:sz w:val="22"/>
                <w:szCs w:val="22"/>
              </w:rPr>
            </w:pPr>
            <w:r w:rsidRPr="00F10160">
              <w:rPr>
                <w:b/>
                <w:bCs/>
                <w:sz w:val="22"/>
                <w:szCs w:val="22"/>
              </w:rPr>
              <w:t>Proposed Methodology, Approach and Implementation Plan</w:t>
            </w:r>
          </w:p>
        </w:tc>
        <w:tc>
          <w:tcPr>
            <w:tcW w:w="1859" w:type="dxa"/>
          </w:tcPr>
          <w:p w14:paraId="13213730" w14:textId="434001A6" w:rsidR="00434188" w:rsidRPr="00F10160" w:rsidRDefault="00ED023C" w:rsidP="00434188">
            <w:pPr>
              <w:rPr>
                <w:rFonts w:ascii="Calibri" w:hAnsi="Calibri" w:cs="Calibri"/>
                <w:b/>
                <w:bCs/>
                <w:sz w:val="22"/>
                <w:szCs w:val="22"/>
              </w:rPr>
            </w:pPr>
            <w:r w:rsidRPr="00F10160">
              <w:rPr>
                <w:rFonts w:ascii="Calibri" w:hAnsi="Calibri" w:cs="Calibri"/>
                <w:b/>
                <w:bCs/>
                <w:sz w:val="22"/>
                <w:szCs w:val="22"/>
              </w:rPr>
              <w:t>250</w:t>
            </w:r>
          </w:p>
        </w:tc>
        <w:tc>
          <w:tcPr>
            <w:tcW w:w="494" w:type="dxa"/>
          </w:tcPr>
          <w:p w14:paraId="7C4EF1F8" w14:textId="77777777" w:rsidR="00434188" w:rsidRPr="00F10160" w:rsidRDefault="00434188" w:rsidP="00434188">
            <w:pPr>
              <w:rPr>
                <w:rFonts w:ascii="Calibri" w:hAnsi="Calibri" w:cs="Calibri"/>
                <w:b/>
                <w:bCs/>
                <w:sz w:val="22"/>
                <w:szCs w:val="22"/>
              </w:rPr>
            </w:pPr>
          </w:p>
        </w:tc>
        <w:tc>
          <w:tcPr>
            <w:tcW w:w="488" w:type="dxa"/>
          </w:tcPr>
          <w:p w14:paraId="7BA5A682" w14:textId="77777777" w:rsidR="00434188" w:rsidRPr="00F10160" w:rsidRDefault="00434188" w:rsidP="00434188">
            <w:pPr>
              <w:rPr>
                <w:rFonts w:ascii="Calibri" w:hAnsi="Calibri" w:cs="Calibri"/>
                <w:b/>
                <w:bCs/>
                <w:sz w:val="22"/>
                <w:szCs w:val="22"/>
              </w:rPr>
            </w:pPr>
          </w:p>
        </w:tc>
        <w:tc>
          <w:tcPr>
            <w:tcW w:w="484" w:type="dxa"/>
          </w:tcPr>
          <w:p w14:paraId="1CF1CD54" w14:textId="77777777" w:rsidR="00434188" w:rsidRPr="00F10160" w:rsidRDefault="00434188" w:rsidP="00434188">
            <w:pPr>
              <w:rPr>
                <w:rFonts w:ascii="Calibri" w:hAnsi="Calibri" w:cs="Calibri"/>
                <w:b/>
                <w:bCs/>
                <w:sz w:val="22"/>
                <w:szCs w:val="22"/>
              </w:rPr>
            </w:pPr>
          </w:p>
        </w:tc>
      </w:tr>
      <w:tr w:rsidR="00434188" w:rsidRPr="00F10160" w14:paraId="2DCD9331" w14:textId="77777777" w:rsidTr="00434188">
        <w:tc>
          <w:tcPr>
            <w:tcW w:w="355" w:type="dxa"/>
          </w:tcPr>
          <w:p w14:paraId="0CFA3DFD" w14:textId="77777777" w:rsidR="00434188" w:rsidRPr="00F10160" w:rsidRDefault="00434188" w:rsidP="00434188">
            <w:pPr>
              <w:rPr>
                <w:rFonts w:ascii="Calibri" w:hAnsi="Calibri" w:cs="Calibri"/>
                <w:b/>
                <w:bCs/>
                <w:sz w:val="22"/>
                <w:szCs w:val="22"/>
              </w:rPr>
            </w:pPr>
          </w:p>
        </w:tc>
        <w:tc>
          <w:tcPr>
            <w:tcW w:w="5670" w:type="dxa"/>
          </w:tcPr>
          <w:p w14:paraId="033F7064" w14:textId="515EE50F" w:rsidR="00ED023C" w:rsidRPr="00F10160" w:rsidRDefault="00ED023C" w:rsidP="00ED023C">
            <w:pPr>
              <w:pStyle w:val="Default"/>
              <w:rPr>
                <w:sz w:val="22"/>
                <w:szCs w:val="22"/>
              </w:rPr>
            </w:pPr>
            <w:proofErr w:type="spellStart"/>
            <w:r w:rsidRPr="00F10160">
              <w:rPr>
                <w:sz w:val="22"/>
                <w:szCs w:val="22"/>
              </w:rPr>
              <w:t>i</w:t>
            </w:r>
            <w:proofErr w:type="spellEnd"/>
            <w:r w:rsidRPr="00F10160">
              <w:rPr>
                <w:sz w:val="22"/>
                <w:szCs w:val="22"/>
              </w:rPr>
              <w:t xml:space="preserve">) Partner presented a clear/realistic </w:t>
            </w:r>
            <w:r w:rsidRPr="00F10160">
              <w:rPr>
                <w:b/>
                <w:bCs/>
                <w:sz w:val="22"/>
                <w:szCs w:val="22"/>
              </w:rPr>
              <w:t xml:space="preserve">work plan </w:t>
            </w:r>
            <w:r w:rsidRPr="00F10160">
              <w:rPr>
                <w:sz w:val="22"/>
                <w:szCs w:val="22"/>
              </w:rPr>
              <w:t xml:space="preserve">relevant to the work assignment proportional to targeted number of beneficiaries and areas to be reached and demonstrated careful consideration for timelines required to prepare and implement activities in line with the project timeline (50 points). </w:t>
            </w:r>
          </w:p>
          <w:p w14:paraId="33C758B0" w14:textId="2A305C70" w:rsidR="00ED023C" w:rsidRPr="00F10160" w:rsidRDefault="00ED023C" w:rsidP="00ED023C">
            <w:pPr>
              <w:pStyle w:val="Default"/>
              <w:rPr>
                <w:sz w:val="22"/>
                <w:szCs w:val="22"/>
              </w:rPr>
            </w:pPr>
            <w:r w:rsidRPr="00F10160">
              <w:rPr>
                <w:sz w:val="22"/>
                <w:szCs w:val="22"/>
              </w:rPr>
              <w:t xml:space="preserve">ii) Partner identified relevant and realistic risks and presented a sound </w:t>
            </w:r>
            <w:r w:rsidRPr="00F10160">
              <w:rPr>
                <w:b/>
                <w:bCs/>
                <w:sz w:val="22"/>
                <w:szCs w:val="22"/>
              </w:rPr>
              <w:t xml:space="preserve">risk mitigation plan </w:t>
            </w:r>
            <w:r w:rsidRPr="00F10160">
              <w:rPr>
                <w:sz w:val="22"/>
                <w:szCs w:val="22"/>
              </w:rPr>
              <w:t xml:space="preserve">for the implementation of the project, which includes among others, </w:t>
            </w:r>
            <w:r w:rsidRPr="00F10160">
              <w:rPr>
                <w:b/>
                <w:bCs/>
                <w:sz w:val="22"/>
                <w:szCs w:val="22"/>
              </w:rPr>
              <w:t xml:space="preserve">strategies to ensure the full participation </w:t>
            </w:r>
            <w:r w:rsidRPr="00F10160">
              <w:rPr>
                <w:sz w:val="22"/>
                <w:szCs w:val="22"/>
              </w:rPr>
              <w:t>of young women and young men and persons with disabilities in all the activities of the project (50 points).</w:t>
            </w:r>
          </w:p>
          <w:p w14:paraId="1DE71D70" w14:textId="77777777" w:rsidR="00434188" w:rsidRPr="00F10160" w:rsidRDefault="00ED023C" w:rsidP="00ED023C">
            <w:pPr>
              <w:pStyle w:val="Default"/>
              <w:rPr>
                <w:sz w:val="22"/>
                <w:szCs w:val="22"/>
              </w:rPr>
            </w:pPr>
            <w:r w:rsidRPr="00F10160">
              <w:rPr>
                <w:sz w:val="22"/>
                <w:szCs w:val="22"/>
              </w:rPr>
              <w:t>iii) Partner openly recognizes concrete risks/barriers and proposes realistic and relevant safeguards against such risks as fraud, corruption, theft, misuse of funds and assets, “ghost participants or beneficiaries” (50 points).</w:t>
            </w:r>
          </w:p>
          <w:p w14:paraId="747D7AC0" w14:textId="6DF583DF" w:rsidR="00ED023C" w:rsidRPr="00F10160" w:rsidRDefault="00ED023C" w:rsidP="00ED023C">
            <w:pPr>
              <w:pStyle w:val="Default"/>
              <w:rPr>
                <w:sz w:val="22"/>
                <w:szCs w:val="22"/>
              </w:rPr>
            </w:pPr>
            <w:r w:rsidRPr="00F10160">
              <w:rPr>
                <w:sz w:val="22"/>
                <w:szCs w:val="22"/>
              </w:rPr>
              <w:t xml:space="preserve">iv) The partner clearly shows alignment of the intervention to relevant SDGs, relevant aspects of the Youth 2030-UN Youth Strategy, the AU Agenda 2063, regional and national frameworks/strategies (50 points). </w:t>
            </w:r>
          </w:p>
          <w:p w14:paraId="0CDB0B11" w14:textId="2A400955" w:rsidR="00ED023C" w:rsidRPr="00F10160" w:rsidRDefault="00ED023C" w:rsidP="00ED023C">
            <w:pPr>
              <w:pStyle w:val="Default"/>
              <w:rPr>
                <w:sz w:val="22"/>
                <w:szCs w:val="22"/>
              </w:rPr>
            </w:pPr>
            <w:r w:rsidRPr="00F10160">
              <w:rPr>
                <w:sz w:val="22"/>
                <w:szCs w:val="22"/>
              </w:rPr>
              <w:t xml:space="preserve">v) Organization provided a plan for engagement of all project stakeholders and a sound communication and visibility plan (20 points). </w:t>
            </w:r>
          </w:p>
          <w:p w14:paraId="4F9610A5" w14:textId="77777777" w:rsidR="00ED023C" w:rsidRPr="00F10160" w:rsidRDefault="00ED023C" w:rsidP="00ED023C">
            <w:pPr>
              <w:pStyle w:val="Default"/>
              <w:rPr>
                <w:sz w:val="22"/>
                <w:szCs w:val="22"/>
              </w:rPr>
            </w:pPr>
            <w:r w:rsidRPr="00F10160">
              <w:rPr>
                <w:sz w:val="22"/>
                <w:szCs w:val="22"/>
              </w:rPr>
              <w:t xml:space="preserve">vi) Review of budget annex as part of partner’s financial reporting capacity: clear budget breakdown by main cost elements. Costs are direct costs, reasonable (with clear rationale for the cost element), in line with national standards and market prices (20 points). </w:t>
            </w:r>
          </w:p>
          <w:p w14:paraId="4A4453A2" w14:textId="192F24CD" w:rsidR="00ED023C" w:rsidRPr="00F10160" w:rsidRDefault="00ED023C" w:rsidP="00ED023C">
            <w:pPr>
              <w:pStyle w:val="Default"/>
              <w:rPr>
                <w:sz w:val="22"/>
                <w:szCs w:val="22"/>
              </w:rPr>
            </w:pPr>
            <w:r w:rsidRPr="00F10160">
              <w:rPr>
                <w:sz w:val="22"/>
                <w:szCs w:val="22"/>
              </w:rPr>
              <w:t xml:space="preserve">vii) Partner’s contribution is mandatory (30 points). </w:t>
            </w:r>
          </w:p>
          <w:p w14:paraId="3A493A21" w14:textId="1B5B561C" w:rsidR="00ED023C" w:rsidRPr="00F10160" w:rsidRDefault="00250C92" w:rsidP="00ED023C">
            <w:pPr>
              <w:pStyle w:val="Default"/>
              <w:rPr>
                <w:sz w:val="22"/>
                <w:szCs w:val="22"/>
              </w:rPr>
            </w:pPr>
            <w:r w:rsidRPr="00F10160">
              <w:rPr>
                <w:sz w:val="22"/>
                <w:szCs w:val="22"/>
              </w:rPr>
              <w:t>viii) O</w:t>
            </w:r>
            <w:r w:rsidR="00ED023C" w:rsidRPr="00F10160">
              <w:rPr>
                <w:sz w:val="22"/>
                <w:szCs w:val="22"/>
              </w:rPr>
              <w:t>ver 60% young women and young men (between the age bracket of 18 and 35) in the senior and middle-level management positions in the organization</w:t>
            </w:r>
            <w:r w:rsidRPr="00F10160">
              <w:rPr>
                <w:sz w:val="22"/>
                <w:szCs w:val="22"/>
              </w:rPr>
              <w:t xml:space="preserve"> (10 points)</w:t>
            </w:r>
            <w:r w:rsidR="00ED023C" w:rsidRPr="00F10160">
              <w:rPr>
                <w:sz w:val="22"/>
                <w:szCs w:val="22"/>
              </w:rPr>
              <w:t xml:space="preserve">. </w:t>
            </w:r>
          </w:p>
          <w:p w14:paraId="7728DC69" w14:textId="070C9290" w:rsidR="00ED023C" w:rsidRPr="00F10160" w:rsidRDefault="00ED023C" w:rsidP="00ED023C">
            <w:pPr>
              <w:pStyle w:val="Default"/>
              <w:rPr>
                <w:sz w:val="22"/>
                <w:szCs w:val="22"/>
              </w:rPr>
            </w:pPr>
          </w:p>
        </w:tc>
        <w:tc>
          <w:tcPr>
            <w:tcW w:w="1859" w:type="dxa"/>
          </w:tcPr>
          <w:p w14:paraId="759CAF9D" w14:textId="77777777" w:rsidR="00434188" w:rsidRPr="00F10160" w:rsidRDefault="00434188" w:rsidP="00434188">
            <w:pPr>
              <w:rPr>
                <w:rFonts w:ascii="Calibri" w:hAnsi="Calibri" w:cs="Calibri"/>
                <w:b/>
                <w:bCs/>
                <w:sz w:val="22"/>
                <w:szCs w:val="22"/>
              </w:rPr>
            </w:pPr>
          </w:p>
        </w:tc>
        <w:tc>
          <w:tcPr>
            <w:tcW w:w="494" w:type="dxa"/>
          </w:tcPr>
          <w:p w14:paraId="170A0376" w14:textId="77777777" w:rsidR="00434188" w:rsidRPr="00F10160" w:rsidRDefault="00434188" w:rsidP="00434188">
            <w:pPr>
              <w:rPr>
                <w:rFonts w:ascii="Calibri" w:hAnsi="Calibri" w:cs="Calibri"/>
                <w:b/>
                <w:bCs/>
                <w:sz w:val="22"/>
                <w:szCs w:val="22"/>
              </w:rPr>
            </w:pPr>
          </w:p>
        </w:tc>
        <w:tc>
          <w:tcPr>
            <w:tcW w:w="488" w:type="dxa"/>
          </w:tcPr>
          <w:p w14:paraId="76338F38" w14:textId="77777777" w:rsidR="00434188" w:rsidRPr="00F10160" w:rsidRDefault="00434188" w:rsidP="00434188">
            <w:pPr>
              <w:rPr>
                <w:rFonts w:ascii="Calibri" w:hAnsi="Calibri" w:cs="Calibri"/>
                <w:b/>
                <w:bCs/>
                <w:sz w:val="22"/>
                <w:szCs w:val="22"/>
              </w:rPr>
            </w:pPr>
          </w:p>
        </w:tc>
        <w:tc>
          <w:tcPr>
            <w:tcW w:w="484" w:type="dxa"/>
          </w:tcPr>
          <w:p w14:paraId="330A50E1" w14:textId="77777777" w:rsidR="00434188" w:rsidRPr="00F10160" w:rsidRDefault="00434188" w:rsidP="00434188">
            <w:pPr>
              <w:rPr>
                <w:rFonts w:ascii="Calibri" w:hAnsi="Calibri" w:cs="Calibri"/>
                <w:b/>
                <w:bCs/>
                <w:sz w:val="22"/>
                <w:szCs w:val="22"/>
              </w:rPr>
            </w:pPr>
          </w:p>
        </w:tc>
      </w:tr>
      <w:tr w:rsidR="00434188" w:rsidRPr="00F10160" w14:paraId="5B72B964" w14:textId="77777777" w:rsidTr="00434188">
        <w:tc>
          <w:tcPr>
            <w:tcW w:w="355" w:type="dxa"/>
          </w:tcPr>
          <w:p w14:paraId="6A257688" w14:textId="4288514E" w:rsidR="00434188" w:rsidRPr="00F10160" w:rsidRDefault="007F563A" w:rsidP="00434188">
            <w:pPr>
              <w:rPr>
                <w:rFonts w:ascii="Calibri" w:hAnsi="Calibri" w:cs="Calibri"/>
                <w:b/>
                <w:bCs/>
                <w:sz w:val="22"/>
                <w:szCs w:val="22"/>
              </w:rPr>
            </w:pPr>
            <w:r w:rsidRPr="00F10160">
              <w:rPr>
                <w:rFonts w:ascii="Calibri" w:hAnsi="Calibri" w:cs="Calibri"/>
                <w:b/>
                <w:bCs/>
                <w:sz w:val="22"/>
                <w:szCs w:val="22"/>
              </w:rPr>
              <w:t>3</w:t>
            </w:r>
          </w:p>
        </w:tc>
        <w:tc>
          <w:tcPr>
            <w:tcW w:w="5670" w:type="dxa"/>
          </w:tcPr>
          <w:p w14:paraId="3A41412F" w14:textId="7F6E9D28" w:rsidR="00434188" w:rsidRPr="00F10160" w:rsidRDefault="007F563A" w:rsidP="007F563A">
            <w:pPr>
              <w:pStyle w:val="Default"/>
              <w:rPr>
                <w:sz w:val="22"/>
                <w:szCs w:val="22"/>
              </w:rPr>
            </w:pPr>
            <w:r w:rsidRPr="00F10160">
              <w:rPr>
                <w:b/>
                <w:bCs/>
                <w:sz w:val="22"/>
                <w:szCs w:val="22"/>
              </w:rPr>
              <w:t xml:space="preserve">Management Structure and Key Personnel </w:t>
            </w:r>
          </w:p>
        </w:tc>
        <w:tc>
          <w:tcPr>
            <w:tcW w:w="1859" w:type="dxa"/>
          </w:tcPr>
          <w:p w14:paraId="746E72A0" w14:textId="668D70B3" w:rsidR="00434188" w:rsidRPr="00F10160" w:rsidRDefault="00225B87" w:rsidP="00434188">
            <w:pPr>
              <w:rPr>
                <w:rFonts w:ascii="Calibri" w:hAnsi="Calibri" w:cs="Calibri"/>
                <w:b/>
                <w:bCs/>
                <w:sz w:val="22"/>
                <w:szCs w:val="22"/>
              </w:rPr>
            </w:pPr>
            <w:r w:rsidRPr="00F10160">
              <w:rPr>
                <w:rFonts w:ascii="Calibri" w:hAnsi="Calibri" w:cs="Calibri"/>
                <w:b/>
                <w:bCs/>
                <w:sz w:val="22"/>
                <w:szCs w:val="22"/>
              </w:rPr>
              <w:t>200</w:t>
            </w:r>
          </w:p>
        </w:tc>
        <w:tc>
          <w:tcPr>
            <w:tcW w:w="494" w:type="dxa"/>
          </w:tcPr>
          <w:p w14:paraId="4C305A10" w14:textId="77777777" w:rsidR="00434188" w:rsidRPr="00F10160" w:rsidRDefault="00434188" w:rsidP="00434188">
            <w:pPr>
              <w:rPr>
                <w:rFonts w:ascii="Calibri" w:hAnsi="Calibri" w:cs="Calibri"/>
                <w:b/>
                <w:bCs/>
                <w:sz w:val="22"/>
                <w:szCs w:val="22"/>
              </w:rPr>
            </w:pPr>
          </w:p>
        </w:tc>
        <w:tc>
          <w:tcPr>
            <w:tcW w:w="488" w:type="dxa"/>
          </w:tcPr>
          <w:p w14:paraId="75FBEE0D" w14:textId="77777777" w:rsidR="00434188" w:rsidRPr="00F10160" w:rsidRDefault="00434188" w:rsidP="00434188">
            <w:pPr>
              <w:rPr>
                <w:rFonts w:ascii="Calibri" w:hAnsi="Calibri" w:cs="Calibri"/>
                <w:b/>
                <w:bCs/>
                <w:sz w:val="22"/>
                <w:szCs w:val="22"/>
              </w:rPr>
            </w:pPr>
          </w:p>
        </w:tc>
        <w:tc>
          <w:tcPr>
            <w:tcW w:w="484" w:type="dxa"/>
          </w:tcPr>
          <w:p w14:paraId="5CE86B8C" w14:textId="77777777" w:rsidR="00434188" w:rsidRPr="00F10160" w:rsidRDefault="00434188" w:rsidP="00434188">
            <w:pPr>
              <w:rPr>
                <w:rFonts w:ascii="Calibri" w:hAnsi="Calibri" w:cs="Calibri"/>
                <w:b/>
                <w:bCs/>
                <w:sz w:val="22"/>
                <w:szCs w:val="22"/>
              </w:rPr>
            </w:pPr>
          </w:p>
        </w:tc>
      </w:tr>
      <w:tr w:rsidR="00434188" w:rsidRPr="00F10160" w14:paraId="49F99993" w14:textId="77777777" w:rsidTr="00434188">
        <w:tc>
          <w:tcPr>
            <w:tcW w:w="355" w:type="dxa"/>
          </w:tcPr>
          <w:p w14:paraId="0ACD3D59" w14:textId="77777777" w:rsidR="00434188" w:rsidRPr="00F10160" w:rsidRDefault="00434188" w:rsidP="00434188">
            <w:pPr>
              <w:rPr>
                <w:rFonts w:ascii="Calibri" w:hAnsi="Calibri" w:cs="Calibri"/>
                <w:b/>
                <w:bCs/>
                <w:sz w:val="22"/>
                <w:szCs w:val="22"/>
              </w:rPr>
            </w:pPr>
          </w:p>
        </w:tc>
        <w:tc>
          <w:tcPr>
            <w:tcW w:w="5670" w:type="dxa"/>
          </w:tcPr>
          <w:p w14:paraId="473E4364" w14:textId="0A4BB121" w:rsidR="008F2876" w:rsidRPr="00F10160" w:rsidRDefault="008F2876" w:rsidP="008F2876">
            <w:pPr>
              <w:pStyle w:val="Default"/>
              <w:rPr>
                <w:sz w:val="22"/>
                <w:szCs w:val="22"/>
              </w:rPr>
            </w:pPr>
            <w:proofErr w:type="spellStart"/>
            <w:r w:rsidRPr="00F10160">
              <w:rPr>
                <w:sz w:val="22"/>
                <w:szCs w:val="22"/>
              </w:rPr>
              <w:t>i</w:t>
            </w:r>
            <w:proofErr w:type="spellEnd"/>
            <w:r w:rsidRPr="00F10160">
              <w:rPr>
                <w:sz w:val="22"/>
                <w:szCs w:val="22"/>
              </w:rPr>
              <w:t xml:space="preserve">) Partner presented a clear project management structure with Terms of reference for each position is presented, e.g., qualified key project personnel (including CVs) who should contribute directly to the implementation of the project, e.g., a Project Coordinator/Manager/Focal Point, Other </w:t>
            </w:r>
            <w:r w:rsidRPr="00F10160">
              <w:rPr>
                <w:sz w:val="22"/>
                <w:szCs w:val="22"/>
              </w:rPr>
              <w:lastRenderedPageBreak/>
              <w:t xml:space="preserve">project technical personnel, Finance Officer/Assistant, and a MEAL Officer with demonstrated capacity to function as the focal point of data/information collection and entry and providing quality assurance during reporting. For other personnel (160 points) </w:t>
            </w:r>
          </w:p>
          <w:p w14:paraId="3AAC3B7B" w14:textId="50E876B4" w:rsidR="008F2876" w:rsidRPr="00F10160" w:rsidRDefault="008F2876" w:rsidP="008F2876">
            <w:pPr>
              <w:pStyle w:val="Default"/>
              <w:rPr>
                <w:sz w:val="22"/>
                <w:szCs w:val="22"/>
              </w:rPr>
            </w:pPr>
            <w:r w:rsidRPr="00F10160">
              <w:rPr>
                <w:sz w:val="22"/>
                <w:szCs w:val="22"/>
              </w:rPr>
              <w:t xml:space="preserve">ii) The partner will specify for each key position the amount of time the staff will dedicate to the project (ref Budget annex). and if the personnel is permanent staff or will be hired for this project If personnel are to be hired, these should be limited to three (a project officer preferably with a Master Degree Qualification in the field of Social Sciences, Development Studies, and Education; and a Project Assistant preferably with Bachelor Degree qualification and with experience in Monitoring, Evaluation, Accountability and Learning (40 points). </w:t>
            </w:r>
          </w:p>
          <w:p w14:paraId="7EB7350D" w14:textId="77777777" w:rsidR="00434188" w:rsidRPr="00F10160" w:rsidRDefault="00434188" w:rsidP="00434188">
            <w:pPr>
              <w:rPr>
                <w:rFonts w:ascii="Calibri" w:hAnsi="Calibri" w:cs="Calibri"/>
                <w:b/>
                <w:bCs/>
                <w:sz w:val="22"/>
                <w:szCs w:val="22"/>
              </w:rPr>
            </w:pPr>
          </w:p>
        </w:tc>
        <w:tc>
          <w:tcPr>
            <w:tcW w:w="1859" w:type="dxa"/>
          </w:tcPr>
          <w:p w14:paraId="557B3CFE" w14:textId="77777777" w:rsidR="00434188" w:rsidRPr="00F10160" w:rsidRDefault="00434188" w:rsidP="00434188">
            <w:pPr>
              <w:rPr>
                <w:rFonts w:ascii="Calibri" w:hAnsi="Calibri" w:cs="Calibri"/>
                <w:b/>
                <w:bCs/>
                <w:sz w:val="22"/>
                <w:szCs w:val="22"/>
              </w:rPr>
            </w:pPr>
          </w:p>
        </w:tc>
        <w:tc>
          <w:tcPr>
            <w:tcW w:w="494" w:type="dxa"/>
          </w:tcPr>
          <w:p w14:paraId="73DFAD1E" w14:textId="77777777" w:rsidR="00434188" w:rsidRPr="00F10160" w:rsidRDefault="00434188" w:rsidP="00434188">
            <w:pPr>
              <w:rPr>
                <w:rFonts w:ascii="Calibri" w:hAnsi="Calibri" w:cs="Calibri"/>
                <w:b/>
                <w:bCs/>
                <w:sz w:val="22"/>
                <w:szCs w:val="22"/>
              </w:rPr>
            </w:pPr>
          </w:p>
        </w:tc>
        <w:tc>
          <w:tcPr>
            <w:tcW w:w="488" w:type="dxa"/>
          </w:tcPr>
          <w:p w14:paraId="670157B9" w14:textId="77777777" w:rsidR="00434188" w:rsidRPr="00F10160" w:rsidRDefault="00434188" w:rsidP="00434188">
            <w:pPr>
              <w:rPr>
                <w:rFonts w:ascii="Calibri" w:hAnsi="Calibri" w:cs="Calibri"/>
                <w:b/>
                <w:bCs/>
                <w:sz w:val="22"/>
                <w:szCs w:val="22"/>
              </w:rPr>
            </w:pPr>
          </w:p>
        </w:tc>
        <w:tc>
          <w:tcPr>
            <w:tcW w:w="484" w:type="dxa"/>
          </w:tcPr>
          <w:p w14:paraId="398F4FEA" w14:textId="77777777" w:rsidR="00434188" w:rsidRPr="00F10160" w:rsidRDefault="00434188" w:rsidP="00434188">
            <w:pPr>
              <w:rPr>
                <w:rFonts w:ascii="Calibri" w:hAnsi="Calibri" w:cs="Calibri"/>
                <w:b/>
                <w:bCs/>
                <w:sz w:val="22"/>
                <w:szCs w:val="22"/>
              </w:rPr>
            </w:pPr>
          </w:p>
        </w:tc>
      </w:tr>
      <w:tr w:rsidR="00434188" w:rsidRPr="00F10160" w14:paraId="481F5923" w14:textId="77777777" w:rsidTr="00434188">
        <w:tc>
          <w:tcPr>
            <w:tcW w:w="355" w:type="dxa"/>
          </w:tcPr>
          <w:p w14:paraId="139C33C0" w14:textId="77777777" w:rsidR="00434188" w:rsidRPr="00F10160" w:rsidRDefault="00434188" w:rsidP="00434188">
            <w:pPr>
              <w:rPr>
                <w:rFonts w:ascii="Calibri" w:hAnsi="Calibri" w:cs="Calibri"/>
                <w:b/>
                <w:bCs/>
                <w:sz w:val="22"/>
                <w:szCs w:val="22"/>
              </w:rPr>
            </w:pPr>
          </w:p>
        </w:tc>
        <w:tc>
          <w:tcPr>
            <w:tcW w:w="5670" w:type="dxa"/>
          </w:tcPr>
          <w:p w14:paraId="4E008C17" w14:textId="77777777" w:rsidR="00056D16" w:rsidRPr="00F10160" w:rsidRDefault="00056D16" w:rsidP="00056D16">
            <w:pPr>
              <w:pStyle w:val="Default"/>
              <w:rPr>
                <w:sz w:val="22"/>
                <w:szCs w:val="22"/>
              </w:rPr>
            </w:pPr>
            <w:r w:rsidRPr="00F10160">
              <w:rPr>
                <w:b/>
                <w:bCs/>
                <w:sz w:val="22"/>
                <w:szCs w:val="22"/>
              </w:rPr>
              <w:t xml:space="preserve">Sub-total for Technical Proposal (applicants must reach a minimum 70%/490 points to be qualified technically and be considered for financial evaluation) </w:t>
            </w:r>
          </w:p>
          <w:p w14:paraId="6A7A17E7" w14:textId="2F4A4B93" w:rsidR="00434188" w:rsidRPr="00F10160" w:rsidRDefault="00056D16" w:rsidP="00056D16">
            <w:pPr>
              <w:pStyle w:val="Default"/>
              <w:rPr>
                <w:sz w:val="22"/>
                <w:szCs w:val="22"/>
              </w:rPr>
            </w:pPr>
            <w:r w:rsidRPr="00F10160">
              <w:rPr>
                <w:b/>
                <w:bCs/>
                <w:sz w:val="22"/>
                <w:szCs w:val="22"/>
              </w:rPr>
              <w:t xml:space="preserve">Financial Proposal Evaluation </w:t>
            </w:r>
          </w:p>
        </w:tc>
        <w:tc>
          <w:tcPr>
            <w:tcW w:w="1859" w:type="dxa"/>
          </w:tcPr>
          <w:p w14:paraId="68F3D9DF" w14:textId="552CCF17" w:rsidR="00434188" w:rsidRPr="00F10160" w:rsidRDefault="00056D16" w:rsidP="00434188">
            <w:pPr>
              <w:rPr>
                <w:rFonts w:ascii="Calibri" w:hAnsi="Calibri" w:cs="Calibri"/>
                <w:b/>
                <w:bCs/>
                <w:sz w:val="22"/>
                <w:szCs w:val="22"/>
              </w:rPr>
            </w:pPr>
            <w:r w:rsidRPr="00F10160">
              <w:rPr>
                <w:rFonts w:ascii="Calibri" w:hAnsi="Calibri" w:cs="Calibri"/>
                <w:b/>
                <w:bCs/>
                <w:sz w:val="22"/>
                <w:szCs w:val="22"/>
              </w:rPr>
              <w:t>700</w:t>
            </w:r>
          </w:p>
        </w:tc>
        <w:tc>
          <w:tcPr>
            <w:tcW w:w="494" w:type="dxa"/>
          </w:tcPr>
          <w:p w14:paraId="6DFA41DC" w14:textId="77777777" w:rsidR="00434188" w:rsidRPr="00F10160" w:rsidRDefault="00434188" w:rsidP="00434188">
            <w:pPr>
              <w:rPr>
                <w:rFonts w:ascii="Calibri" w:hAnsi="Calibri" w:cs="Calibri"/>
                <w:b/>
                <w:bCs/>
                <w:sz w:val="22"/>
                <w:szCs w:val="22"/>
              </w:rPr>
            </w:pPr>
          </w:p>
        </w:tc>
        <w:tc>
          <w:tcPr>
            <w:tcW w:w="488" w:type="dxa"/>
          </w:tcPr>
          <w:p w14:paraId="34BD8CCF" w14:textId="77777777" w:rsidR="00434188" w:rsidRPr="00F10160" w:rsidRDefault="00434188" w:rsidP="00434188">
            <w:pPr>
              <w:rPr>
                <w:rFonts w:ascii="Calibri" w:hAnsi="Calibri" w:cs="Calibri"/>
                <w:b/>
                <w:bCs/>
                <w:sz w:val="22"/>
                <w:szCs w:val="22"/>
              </w:rPr>
            </w:pPr>
          </w:p>
        </w:tc>
        <w:tc>
          <w:tcPr>
            <w:tcW w:w="484" w:type="dxa"/>
          </w:tcPr>
          <w:p w14:paraId="66CFACA6" w14:textId="77777777" w:rsidR="00434188" w:rsidRPr="00F10160" w:rsidRDefault="00434188" w:rsidP="00434188">
            <w:pPr>
              <w:rPr>
                <w:rFonts w:ascii="Calibri" w:hAnsi="Calibri" w:cs="Calibri"/>
                <w:b/>
                <w:bCs/>
                <w:sz w:val="22"/>
                <w:szCs w:val="22"/>
              </w:rPr>
            </w:pPr>
          </w:p>
        </w:tc>
      </w:tr>
      <w:tr w:rsidR="00056D16" w:rsidRPr="00F10160" w14:paraId="5E5D34A0" w14:textId="77777777" w:rsidTr="00434188">
        <w:tc>
          <w:tcPr>
            <w:tcW w:w="355" w:type="dxa"/>
          </w:tcPr>
          <w:p w14:paraId="433E23E2" w14:textId="77777777" w:rsidR="00056D16" w:rsidRPr="00F10160" w:rsidRDefault="00056D16" w:rsidP="00434188">
            <w:pPr>
              <w:rPr>
                <w:rFonts w:ascii="Calibri" w:hAnsi="Calibri" w:cs="Calibri"/>
                <w:b/>
                <w:bCs/>
                <w:sz w:val="22"/>
                <w:szCs w:val="22"/>
              </w:rPr>
            </w:pPr>
          </w:p>
        </w:tc>
        <w:tc>
          <w:tcPr>
            <w:tcW w:w="5670" w:type="dxa"/>
          </w:tcPr>
          <w:p w14:paraId="41F37443" w14:textId="38189994" w:rsidR="00056D16" w:rsidRPr="00F10160" w:rsidRDefault="00056D16" w:rsidP="00056D16">
            <w:pPr>
              <w:pStyle w:val="Default"/>
              <w:rPr>
                <w:sz w:val="22"/>
                <w:szCs w:val="22"/>
              </w:rPr>
            </w:pPr>
            <w:r w:rsidRPr="00F10160">
              <w:rPr>
                <w:b/>
                <w:bCs/>
                <w:sz w:val="22"/>
                <w:szCs w:val="22"/>
              </w:rPr>
              <w:t xml:space="preserve">Sub-total for Financial Proposal (cost of IPA) </w:t>
            </w:r>
          </w:p>
        </w:tc>
        <w:tc>
          <w:tcPr>
            <w:tcW w:w="1859" w:type="dxa"/>
          </w:tcPr>
          <w:p w14:paraId="33BFFC0B" w14:textId="1063D111" w:rsidR="00056D16" w:rsidRPr="00F10160" w:rsidRDefault="00056D16" w:rsidP="00434188">
            <w:pPr>
              <w:rPr>
                <w:rFonts w:ascii="Calibri" w:hAnsi="Calibri" w:cs="Calibri"/>
                <w:b/>
                <w:bCs/>
                <w:sz w:val="22"/>
                <w:szCs w:val="22"/>
              </w:rPr>
            </w:pPr>
            <w:r w:rsidRPr="00F10160">
              <w:rPr>
                <w:rFonts w:ascii="Calibri" w:hAnsi="Calibri" w:cs="Calibri"/>
                <w:b/>
                <w:bCs/>
                <w:sz w:val="22"/>
                <w:szCs w:val="22"/>
              </w:rPr>
              <w:t>300</w:t>
            </w:r>
          </w:p>
        </w:tc>
        <w:tc>
          <w:tcPr>
            <w:tcW w:w="494" w:type="dxa"/>
          </w:tcPr>
          <w:p w14:paraId="6734F355" w14:textId="77777777" w:rsidR="00056D16" w:rsidRPr="00F10160" w:rsidRDefault="00056D16" w:rsidP="00434188">
            <w:pPr>
              <w:rPr>
                <w:rFonts w:ascii="Calibri" w:hAnsi="Calibri" w:cs="Calibri"/>
                <w:b/>
                <w:bCs/>
                <w:sz w:val="22"/>
                <w:szCs w:val="22"/>
              </w:rPr>
            </w:pPr>
          </w:p>
        </w:tc>
        <w:tc>
          <w:tcPr>
            <w:tcW w:w="488" w:type="dxa"/>
          </w:tcPr>
          <w:p w14:paraId="7567ECB3" w14:textId="77777777" w:rsidR="00056D16" w:rsidRPr="00F10160" w:rsidRDefault="00056D16" w:rsidP="00434188">
            <w:pPr>
              <w:rPr>
                <w:rFonts w:ascii="Calibri" w:hAnsi="Calibri" w:cs="Calibri"/>
                <w:b/>
                <w:bCs/>
                <w:sz w:val="22"/>
                <w:szCs w:val="22"/>
              </w:rPr>
            </w:pPr>
          </w:p>
        </w:tc>
        <w:tc>
          <w:tcPr>
            <w:tcW w:w="484" w:type="dxa"/>
          </w:tcPr>
          <w:p w14:paraId="2EF093A7" w14:textId="77777777" w:rsidR="00056D16" w:rsidRPr="00F10160" w:rsidRDefault="00056D16" w:rsidP="00434188">
            <w:pPr>
              <w:rPr>
                <w:rFonts w:ascii="Calibri" w:hAnsi="Calibri" w:cs="Calibri"/>
                <w:b/>
                <w:bCs/>
                <w:sz w:val="22"/>
                <w:szCs w:val="22"/>
              </w:rPr>
            </w:pPr>
          </w:p>
        </w:tc>
      </w:tr>
      <w:tr w:rsidR="00056D16" w:rsidRPr="00F10160" w14:paraId="463F8BDD" w14:textId="77777777" w:rsidTr="00434188">
        <w:tc>
          <w:tcPr>
            <w:tcW w:w="355" w:type="dxa"/>
          </w:tcPr>
          <w:p w14:paraId="273AAE3F" w14:textId="77777777" w:rsidR="00056D16" w:rsidRPr="00F10160" w:rsidRDefault="00056D16" w:rsidP="00434188">
            <w:pPr>
              <w:rPr>
                <w:rFonts w:ascii="Calibri" w:hAnsi="Calibri" w:cs="Calibri"/>
                <w:b/>
                <w:bCs/>
                <w:sz w:val="22"/>
                <w:szCs w:val="22"/>
              </w:rPr>
            </w:pPr>
          </w:p>
        </w:tc>
        <w:tc>
          <w:tcPr>
            <w:tcW w:w="5670" w:type="dxa"/>
          </w:tcPr>
          <w:p w14:paraId="113B5E90" w14:textId="0DBF886D" w:rsidR="00056D16" w:rsidRPr="00F10160" w:rsidRDefault="00056D16" w:rsidP="00056D16">
            <w:pPr>
              <w:pStyle w:val="Default"/>
              <w:rPr>
                <w:sz w:val="22"/>
                <w:szCs w:val="22"/>
              </w:rPr>
            </w:pPr>
            <w:r w:rsidRPr="00F10160">
              <w:rPr>
                <w:b/>
                <w:bCs/>
                <w:sz w:val="22"/>
                <w:szCs w:val="22"/>
              </w:rPr>
              <w:t xml:space="preserve">Total (Technical and Financial) Combined score </w:t>
            </w:r>
          </w:p>
        </w:tc>
        <w:tc>
          <w:tcPr>
            <w:tcW w:w="1859" w:type="dxa"/>
          </w:tcPr>
          <w:p w14:paraId="2DA76C37" w14:textId="15A5077C" w:rsidR="00056D16" w:rsidRPr="00F10160" w:rsidRDefault="00056D16" w:rsidP="00434188">
            <w:pPr>
              <w:rPr>
                <w:rFonts w:ascii="Calibri" w:hAnsi="Calibri" w:cs="Calibri"/>
                <w:b/>
                <w:bCs/>
                <w:sz w:val="22"/>
                <w:szCs w:val="22"/>
              </w:rPr>
            </w:pPr>
            <w:r w:rsidRPr="00F10160">
              <w:rPr>
                <w:rFonts w:ascii="Calibri" w:hAnsi="Calibri" w:cs="Calibri"/>
                <w:b/>
                <w:bCs/>
                <w:sz w:val="22"/>
                <w:szCs w:val="22"/>
              </w:rPr>
              <w:t>1000</w:t>
            </w:r>
          </w:p>
        </w:tc>
        <w:tc>
          <w:tcPr>
            <w:tcW w:w="494" w:type="dxa"/>
          </w:tcPr>
          <w:p w14:paraId="0AEF52C6" w14:textId="77777777" w:rsidR="00056D16" w:rsidRPr="00F10160" w:rsidRDefault="00056D16" w:rsidP="00434188">
            <w:pPr>
              <w:rPr>
                <w:rFonts w:ascii="Calibri" w:hAnsi="Calibri" w:cs="Calibri"/>
                <w:b/>
                <w:bCs/>
                <w:sz w:val="22"/>
                <w:szCs w:val="22"/>
              </w:rPr>
            </w:pPr>
          </w:p>
        </w:tc>
        <w:tc>
          <w:tcPr>
            <w:tcW w:w="488" w:type="dxa"/>
          </w:tcPr>
          <w:p w14:paraId="1A4732C6" w14:textId="77777777" w:rsidR="00056D16" w:rsidRPr="00F10160" w:rsidRDefault="00056D16" w:rsidP="00434188">
            <w:pPr>
              <w:rPr>
                <w:rFonts w:ascii="Calibri" w:hAnsi="Calibri" w:cs="Calibri"/>
                <w:b/>
                <w:bCs/>
                <w:sz w:val="22"/>
                <w:szCs w:val="22"/>
              </w:rPr>
            </w:pPr>
          </w:p>
        </w:tc>
        <w:tc>
          <w:tcPr>
            <w:tcW w:w="484" w:type="dxa"/>
          </w:tcPr>
          <w:p w14:paraId="38739C4A" w14:textId="77777777" w:rsidR="00056D16" w:rsidRPr="00F10160" w:rsidRDefault="00056D16" w:rsidP="00434188">
            <w:pPr>
              <w:rPr>
                <w:rFonts w:ascii="Calibri" w:hAnsi="Calibri" w:cs="Calibri"/>
                <w:b/>
                <w:bCs/>
                <w:sz w:val="22"/>
                <w:szCs w:val="22"/>
              </w:rPr>
            </w:pPr>
          </w:p>
        </w:tc>
      </w:tr>
    </w:tbl>
    <w:p w14:paraId="69895530" w14:textId="77777777" w:rsidR="00434188" w:rsidRDefault="00434188" w:rsidP="00434188">
      <w:pPr>
        <w:spacing w:after="0"/>
        <w:rPr>
          <w:rFonts w:ascii="Calibri" w:hAnsi="Calibri" w:cs="Calibri"/>
          <w:b/>
          <w:bCs/>
          <w:sz w:val="22"/>
          <w:szCs w:val="22"/>
        </w:rPr>
      </w:pPr>
    </w:p>
    <w:p w14:paraId="762EB743" w14:textId="77777777" w:rsidR="00D55936" w:rsidRPr="00D55936" w:rsidRDefault="00D55936" w:rsidP="00D55936">
      <w:pPr>
        <w:pStyle w:val="Default"/>
        <w:spacing w:after="58"/>
        <w:rPr>
          <w:b/>
          <w:bCs/>
          <w:sz w:val="22"/>
          <w:szCs w:val="22"/>
        </w:rPr>
      </w:pPr>
      <w:r w:rsidRPr="00D55936">
        <w:rPr>
          <w:b/>
          <w:bCs/>
          <w:sz w:val="22"/>
          <w:szCs w:val="22"/>
        </w:rPr>
        <w:t>List of documents to be submitted with the application</w:t>
      </w:r>
    </w:p>
    <w:p w14:paraId="7939852A" w14:textId="77777777" w:rsidR="00D55936" w:rsidRPr="00D55936" w:rsidRDefault="00D55936" w:rsidP="00D55936">
      <w:pPr>
        <w:pStyle w:val="Default"/>
        <w:rPr>
          <w:sz w:val="22"/>
          <w:szCs w:val="22"/>
        </w:rPr>
      </w:pPr>
    </w:p>
    <w:p w14:paraId="2EB697F7" w14:textId="77777777" w:rsidR="00D55936" w:rsidRPr="00D55936" w:rsidRDefault="00D55936" w:rsidP="00D55936">
      <w:pPr>
        <w:pStyle w:val="Default"/>
        <w:numPr>
          <w:ilvl w:val="0"/>
          <w:numId w:val="2"/>
        </w:numPr>
        <w:ind w:left="720" w:hanging="360"/>
        <w:rPr>
          <w:sz w:val="22"/>
          <w:szCs w:val="22"/>
        </w:rPr>
      </w:pPr>
      <w:r w:rsidRPr="00D55936">
        <w:rPr>
          <w:sz w:val="22"/>
          <w:szCs w:val="22"/>
        </w:rPr>
        <w:t xml:space="preserve">UNESCO Partner Identification Form (Annex 2) -signature required </w:t>
      </w:r>
    </w:p>
    <w:p w14:paraId="2DF0B460" w14:textId="77777777" w:rsidR="00D55936" w:rsidRPr="00D55936" w:rsidRDefault="00D55936" w:rsidP="00D55936">
      <w:pPr>
        <w:pStyle w:val="Default"/>
        <w:numPr>
          <w:ilvl w:val="0"/>
          <w:numId w:val="2"/>
        </w:numPr>
        <w:ind w:left="720" w:hanging="360"/>
        <w:rPr>
          <w:sz w:val="22"/>
          <w:szCs w:val="22"/>
        </w:rPr>
      </w:pPr>
      <w:r w:rsidRPr="00D55936">
        <w:rPr>
          <w:sz w:val="22"/>
          <w:szCs w:val="22"/>
        </w:rPr>
        <w:t>Budget template/Financial Proposal (Annex 3) including the logo of the partner</w:t>
      </w:r>
    </w:p>
    <w:p w14:paraId="064491F5" w14:textId="77777777" w:rsidR="00D55936" w:rsidRPr="00D55936" w:rsidRDefault="00D55936" w:rsidP="00D55936">
      <w:pPr>
        <w:pStyle w:val="Default"/>
        <w:numPr>
          <w:ilvl w:val="0"/>
          <w:numId w:val="2"/>
        </w:numPr>
        <w:ind w:left="720" w:hanging="360"/>
        <w:rPr>
          <w:sz w:val="22"/>
          <w:szCs w:val="22"/>
        </w:rPr>
      </w:pPr>
      <w:r w:rsidRPr="00D55936">
        <w:rPr>
          <w:sz w:val="22"/>
          <w:szCs w:val="22"/>
        </w:rPr>
        <w:t xml:space="preserve">Application form/technical proposal Form (Annex 5 signature required of the authorized representative at the bottom </w:t>
      </w:r>
    </w:p>
    <w:p w14:paraId="0FA017A2" w14:textId="77777777" w:rsidR="00D55936" w:rsidRPr="00D55936" w:rsidRDefault="00D55936" w:rsidP="00D55936">
      <w:pPr>
        <w:pStyle w:val="Default"/>
        <w:numPr>
          <w:ilvl w:val="0"/>
          <w:numId w:val="2"/>
        </w:numPr>
        <w:ind w:left="720" w:hanging="360"/>
        <w:rPr>
          <w:sz w:val="22"/>
          <w:szCs w:val="22"/>
        </w:rPr>
      </w:pPr>
      <w:r w:rsidRPr="00D55936">
        <w:rPr>
          <w:sz w:val="22"/>
          <w:szCs w:val="22"/>
        </w:rPr>
        <w:t xml:space="preserve">Official Certificate of Legal Status registration </w:t>
      </w:r>
    </w:p>
    <w:p w14:paraId="0BB75B1A" w14:textId="77777777" w:rsidR="00D55936" w:rsidRPr="00D55936" w:rsidRDefault="00D55936" w:rsidP="00D55936">
      <w:pPr>
        <w:pStyle w:val="Default"/>
        <w:numPr>
          <w:ilvl w:val="0"/>
          <w:numId w:val="2"/>
        </w:numPr>
        <w:ind w:left="720" w:hanging="360"/>
        <w:rPr>
          <w:sz w:val="22"/>
          <w:szCs w:val="22"/>
        </w:rPr>
      </w:pPr>
      <w:r w:rsidRPr="00D55936">
        <w:rPr>
          <w:sz w:val="22"/>
          <w:szCs w:val="22"/>
        </w:rPr>
        <w:t>Audited Financial Statements (including the balance sheet, the income and expenses account and the annexes) of the last two financial years 2022 and 2023.</w:t>
      </w:r>
    </w:p>
    <w:p w14:paraId="142E9F3B" w14:textId="77777777" w:rsidR="00D55936" w:rsidRPr="00D55936" w:rsidRDefault="00D55936" w:rsidP="00D55936">
      <w:pPr>
        <w:pStyle w:val="Default"/>
        <w:numPr>
          <w:ilvl w:val="0"/>
          <w:numId w:val="2"/>
        </w:numPr>
        <w:ind w:left="720" w:hanging="360"/>
        <w:rPr>
          <w:sz w:val="22"/>
          <w:szCs w:val="22"/>
        </w:rPr>
      </w:pPr>
      <w:r w:rsidRPr="00D55936">
        <w:rPr>
          <w:sz w:val="22"/>
          <w:szCs w:val="22"/>
        </w:rPr>
        <w:t>CVs of relevant positions with terms of reference included.</w:t>
      </w:r>
    </w:p>
    <w:p w14:paraId="5B9F6968" w14:textId="77777777" w:rsidR="00D55936" w:rsidRPr="00D55936" w:rsidRDefault="00D55936" w:rsidP="00D55936">
      <w:pPr>
        <w:pStyle w:val="Default"/>
        <w:numPr>
          <w:ilvl w:val="0"/>
          <w:numId w:val="2"/>
        </w:numPr>
        <w:ind w:left="720" w:hanging="360"/>
        <w:rPr>
          <w:sz w:val="22"/>
          <w:szCs w:val="22"/>
        </w:rPr>
      </w:pPr>
      <w:r w:rsidRPr="00D55936">
        <w:rPr>
          <w:sz w:val="22"/>
          <w:szCs w:val="22"/>
        </w:rPr>
        <w:t xml:space="preserve">Proof of experience </w:t>
      </w:r>
    </w:p>
    <w:p w14:paraId="6B464DFE" w14:textId="4A21BBF1" w:rsidR="00D55936" w:rsidRPr="00623152" w:rsidRDefault="00D55936" w:rsidP="00623152">
      <w:pPr>
        <w:pStyle w:val="Default"/>
        <w:numPr>
          <w:ilvl w:val="0"/>
          <w:numId w:val="2"/>
        </w:numPr>
        <w:ind w:left="720" w:hanging="360"/>
        <w:rPr>
          <w:sz w:val="22"/>
          <w:szCs w:val="22"/>
        </w:rPr>
      </w:pPr>
      <w:r w:rsidRPr="00D55936">
        <w:rPr>
          <w:sz w:val="22"/>
          <w:szCs w:val="22"/>
        </w:rPr>
        <w:t>Other relevant documents</w:t>
      </w:r>
    </w:p>
    <w:sectPr w:rsidR="00D55936" w:rsidRPr="0062315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E47FB" w14:textId="77777777" w:rsidR="007B33BE" w:rsidRDefault="007B33BE" w:rsidP="00434188">
      <w:pPr>
        <w:spacing w:after="0" w:line="240" w:lineRule="auto"/>
      </w:pPr>
      <w:r>
        <w:separator/>
      </w:r>
    </w:p>
  </w:endnote>
  <w:endnote w:type="continuationSeparator" w:id="0">
    <w:p w14:paraId="13CBD0E5" w14:textId="77777777" w:rsidR="007B33BE" w:rsidRDefault="007B33BE" w:rsidP="0043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A03E" w14:textId="77777777" w:rsidR="007B33BE" w:rsidRDefault="007B33BE" w:rsidP="00434188">
      <w:pPr>
        <w:spacing w:after="0" w:line="240" w:lineRule="auto"/>
      </w:pPr>
      <w:r>
        <w:separator/>
      </w:r>
    </w:p>
  </w:footnote>
  <w:footnote w:type="continuationSeparator" w:id="0">
    <w:p w14:paraId="567F4094" w14:textId="77777777" w:rsidR="007B33BE" w:rsidRDefault="007B33BE" w:rsidP="0043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0CD4" w14:textId="59C8EA81" w:rsidR="00732E34" w:rsidRDefault="00732E34">
    <w:pPr>
      <w:pStyle w:val="Header"/>
    </w:pPr>
    <w:r>
      <w:rPr>
        <w:noProof/>
        <w:color w:val="1F497D"/>
        <w:sz w:val="22"/>
        <w:szCs w:val="22"/>
      </w:rPr>
      <w:drawing>
        <wp:inline distT="0" distB="0" distL="0" distR="0" wp14:anchorId="1653E944" wp14:editId="46843A99">
          <wp:extent cx="1936750" cy="425450"/>
          <wp:effectExtent l="0" t="0" r="6350" b="0"/>
          <wp:docPr id="72650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36750" cy="425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382544"/>
    <w:multiLevelType w:val="hybridMultilevel"/>
    <w:tmpl w:val="B9544BF2"/>
    <w:lvl w:ilvl="0" w:tplc="F6B2959A">
      <w:start w:val="1"/>
      <w:numFmt w:val="lowerLetter"/>
      <w:lvlText w:val="%1)"/>
      <w:lvlJc w:val="left"/>
      <w:pPr>
        <w:ind w:left="0" w:firstLine="0"/>
      </w:pPr>
      <w:rPr>
        <w:rFonts w:asciiTheme="minorHAnsi" w:eastAsiaTheme="minorEastAsia" w:hAnsiTheme="minorHAnsi" w:cs="Calibri"/>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3E902FE"/>
    <w:multiLevelType w:val="hybridMultilevel"/>
    <w:tmpl w:val="8DFC68D0"/>
    <w:lvl w:ilvl="0" w:tplc="189C7EDE">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B1E31"/>
    <w:multiLevelType w:val="hybridMultilevel"/>
    <w:tmpl w:val="D6E6AEBE"/>
    <w:lvl w:ilvl="0" w:tplc="5C66292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71825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2629123">
    <w:abstractNumId w:val="0"/>
    <w:lvlOverride w:ilvl="0">
      <w:startOverride w:val="1"/>
    </w:lvlOverride>
    <w:lvlOverride w:ilvl="1"/>
    <w:lvlOverride w:ilvl="2"/>
    <w:lvlOverride w:ilvl="3"/>
    <w:lvlOverride w:ilvl="4"/>
    <w:lvlOverride w:ilvl="5"/>
    <w:lvlOverride w:ilvl="6"/>
    <w:lvlOverride w:ilvl="7"/>
    <w:lvlOverride w:ilvl="8"/>
  </w:num>
  <w:num w:numId="3" w16cid:durableId="69471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63"/>
    <w:rsid w:val="00003ECC"/>
    <w:rsid w:val="00036D67"/>
    <w:rsid w:val="00043B79"/>
    <w:rsid w:val="00056D16"/>
    <w:rsid w:val="00065B58"/>
    <w:rsid w:val="00144FC4"/>
    <w:rsid w:val="00173152"/>
    <w:rsid w:val="0019563E"/>
    <w:rsid w:val="001B1701"/>
    <w:rsid w:val="001D1356"/>
    <w:rsid w:val="001F5B4E"/>
    <w:rsid w:val="00225B87"/>
    <w:rsid w:val="00250C92"/>
    <w:rsid w:val="002A1BBB"/>
    <w:rsid w:val="00301FC4"/>
    <w:rsid w:val="00310CF8"/>
    <w:rsid w:val="003D1707"/>
    <w:rsid w:val="003F45FF"/>
    <w:rsid w:val="00407269"/>
    <w:rsid w:val="00434188"/>
    <w:rsid w:val="00536E5D"/>
    <w:rsid w:val="00584812"/>
    <w:rsid w:val="00590A09"/>
    <w:rsid w:val="00623152"/>
    <w:rsid w:val="00695E91"/>
    <w:rsid w:val="006B13C1"/>
    <w:rsid w:val="00732E34"/>
    <w:rsid w:val="0074569F"/>
    <w:rsid w:val="00783D7A"/>
    <w:rsid w:val="007B33BE"/>
    <w:rsid w:val="007E6EE7"/>
    <w:rsid w:val="007F563A"/>
    <w:rsid w:val="00815963"/>
    <w:rsid w:val="00845710"/>
    <w:rsid w:val="00857875"/>
    <w:rsid w:val="008F2876"/>
    <w:rsid w:val="0097278E"/>
    <w:rsid w:val="00A56701"/>
    <w:rsid w:val="00AA7332"/>
    <w:rsid w:val="00AC4EAF"/>
    <w:rsid w:val="00B26B01"/>
    <w:rsid w:val="00B451F7"/>
    <w:rsid w:val="00B92239"/>
    <w:rsid w:val="00BA4FE8"/>
    <w:rsid w:val="00CD032F"/>
    <w:rsid w:val="00D55936"/>
    <w:rsid w:val="00DC2C11"/>
    <w:rsid w:val="00DF4F73"/>
    <w:rsid w:val="00EB3019"/>
    <w:rsid w:val="00EC6A48"/>
    <w:rsid w:val="00ED023C"/>
    <w:rsid w:val="00F10160"/>
    <w:rsid w:val="00F51617"/>
    <w:rsid w:val="00FB78D0"/>
    <w:rsid w:val="00FC3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DD457"/>
  <w15:chartTrackingRefBased/>
  <w15:docId w15:val="{150B696C-E30A-4ECA-B0EB-A7C8ECF4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9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9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9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9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9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9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9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963"/>
    <w:rPr>
      <w:rFonts w:eastAsiaTheme="majorEastAsia" w:cstheme="majorBidi"/>
      <w:color w:val="272727" w:themeColor="text1" w:themeTint="D8"/>
    </w:rPr>
  </w:style>
  <w:style w:type="paragraph" w:styleId="Title">
    <w:name w:val="Title"/>
    <w:basedOn w:val="Normal"/>
    <w:next w:val="Normal"/>
    <w:link w:val="TitleChar"/>
    <w:uiPriority w:val="10"/>
    <w:qFormat/>
    <w:rsid w:val="00815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9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963"/>
    <w:pPr>
      <w:spacing w:before="160"/>
      <w:jc w:val="center"/>
    </w:pPr>
    <w:rPr>
      <w:i/>
      <w:iCs/>
      <w:color w:val="404040" w:themeColor="text1" w:themeTint="BF"/>
    </w:rPr>
  </w:style>
  <w:style w:type="character" w:customStyle="1" w:styleId="QuoteChar">
    <w:name w:val="Quote Char"/>
    <w:basedOn w:val="DefaultParagraphFont"/>
    <w:link w:val="Quote"/>
    <w:uiPriority w:val="29"/>
    <w:rsid w:val="00815963"/>
    <w:rPr>
      <w:i/>
      <w:iCs/>
      <w:color w:val="404040" w:themeColor="text1" w:themeTint="BF"/>
    </w:rPr>
  </w:style>
  <w:style w:type="paragraph" w:styleId="ListParagraph">
    <w:name w:val="List Paragraph"/>
    <w:basedOn w:val="Normal"/>
    <w:uiPriority w:val="34"/>
    <w:qFormat/>
    <w:rsid w:val="00815963"/>
    <w:pPr>
      <w:ind w:left="720"/>
      <w:contextualSpacing/>
    </w:pPr>
  </w:style>
  <w:style w:type="character" w:styleId="IntenseEmphasis">
    <w:name w:val="Intense Emphasis"/>
    <w:basedOn w:val="DefaultParagraphFont"/>
    <w:uiPriority w:val="21"/>
    <w:qFormat/>
    <w:rsid w:val="00815963"/>
    <w:rPr>
      <w:i/>
      <w:iCs/>
      <w:color w:val="0F4761" w:themeColor="accent1" w:themeShade="BF"/>
    </w:rPr>
  </w:style>
  <w:style w:type="paragraph" w:styleId="IntenseQuote">
    <w:name w:val="Intense Quote"/>
    <w:basedOn w:val="Normal"/>
    <w:next w:val="Normal"/>
    <w:link w:val="IntenseQuoteChar"/>
    <w:uiPriority w:val="30"/>
    <w:qFormat/>
    <w:rsid w:val="00815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963"/>
    <w:rPr>
      <w:i/>
      <w:iCs/>
      <w:color w:val="0F4761" w:themeColor="accent1" w:themeShade="BF"/>
    </w:rPr>
  </w:style>
  <w:style w:type="character" w:styleId="IntenseReference">
    <w:name w:val="Intense Reference"/>
    <w:basedOn w:val="DefaultParagraphFont"/>
    <w:uiPriority w:val="32"/>
    <w:qFormat/>
    <w:rsid w:val="00815963"/>
    <w:rPr>
      <w:b/>
      <w:bCs/>
      <w:smallCaps/>
      <w:color w:val="0F4761" w:themeColor="accent1" w:themeShade="BF"/>
      <w:spacing w:val="5"/>
    </w:rPr>
  </w:style>
  <w:style w:type="paragraph" w:customStyle="1" w:styleId="Default">
    <w:name w:val="Default"/>
    <w:rsid w:val="00815963"/>
    <w:pPr>
      <w:autoSpaceDE w:val="0"/>
      <w:autoSpaceDN w:val="0"/>
      <w:adjustRightInd w:val="0"/>
      <w:spacing w:after="0" w:line="240" w:lineRule="auto"/>
    </w:pPr>
    <w:rPr>
      <w:rFonts w:ascii="Calibri" w:hAnsi="Calibri" w:cs="Calibri"/>
      <w:color w:val="000000"/>
      <w:kern w:val="0"/>
    </w:rPr>
  </w:style>
  <w:style w:type="paragraph" w:styleId="Header">
    <w:name w:val="header"/>
    <w:basedOn w:val="Normal"/>
    <w:link w:val="HeaderChar"/>
    <w:uiPriority w:val="99"/>
    <w:unhideWhenUsed/>
    <w:rsid w:val="0043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188"/>
  </w:style>
  <w:style w:type="paragraph" w:styleId="Footer">
    <w:name w:val="footer"/>
    <w:basedOn w:val="Normal"/>
    <w:link w:val="FooterChar"/>
    <w:uiPriority w:val="99"/>
    <w:unhideWhenUsed/>
    <w:rsid w:val="0043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188"/>
  </w:style>
  <w:style w:type="table" w:styleId="TableGrid">
    <w:name w:val="Table Grid"/>
    <w:basedOn w:val="TableNormal"/>
    <w:uiPriority w:val="39"/>
    <w:rsid w:val="0043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131909">
      <w:bodyDiv w:val="1"/>
      <w:marLeft w:val="0"/>
      <w:marRight w:val="0"/>
      <w:marTop w:val="0"/>
      <w:marBottom w:val="0"/>
      <w:divBdr>
        <w:top w:val="none" w:sz="0" w:space="0" w:color="auto"/>
        <w:left w:val="none" w:sz="0" w:space="0" w:color="auto"/>
        <w:bottom w:val="none" w:sz="0" w:space="0" w:color="auto"/>
        <w:right w:val="none" w:sz="0" w:space="0" w:color="auto"/>
      </w:divBdr>
    </w:div>
    <w:div w:id="16988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4D42.4E5C1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94</TotalTime>
  <Pages>5</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Muorwel, James</dc:creator>
  <cp:keywords/>
  <dc:description/>
  <cp:lastModifiedBy>Alex, Tomor Fred Wani</cp:lastModifiedBy>
  <cp:revision>29</cp:revision>
  <dcterms:created xsi:type="dcterms:W3CDTF">2024-10-08T07:27:00Z</dcterms:created>
  <dcterms:modified xsi:type="dcterms:W3CDTF">2024-12-16T14:08:00Z</dcterms:modified>
</cp:coreProperties>
</file>