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ED42" w14:textId="77777777" w:rsidR="00F36FB8" w:rsidRPr="0035144B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bCs/>
          <w:sz w:val="20"/>
          <w:szCs w:val="20"/>
        </w:rPr>
      </w:pPr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02F932" wp14:editId="001EBBA0">
            <wp:simplePos x="0" y="0"/>
            <wp:positionH relativeFrom="page">
              <wp:posOffset>5045028</wp:posOffset>
            </wp:positionH>
            <wp:positionV relativeFrom="paragraph">
              <wp:posOffset>-726053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44B">
        <w:rPr>
          <w:rFonts w:ascii="Myriad Pro Light" w:hAnsi="Myriad Pro Light"/>
          <w:b/>
          <w:bCs/>
          <w:sz w:val="20"/>
          <w:szCs w:val="20"/>
        </w:rPr>
        <w:t>AAHI-South Sudan</w:t>
      </w:r>
    </w:p>
    <w:p w14:paraId="1422CAE8" w14:textId="77777777" w:rsidR="00F36FB8" w:rsidRDefault="00F36FB8" w:rsidP="00F36FB8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35144B">
        <w:rPr>
          <w:rFonts w:ascii="Myriad Pro Light" w:hAnsi="Myriad Pro Light"/>
          <w:b/>
          <w:bCs/>
          <w:sz w:val="20"/>
          <w:szCs w:val="20"/>
        </w:rPr>
        <w:t>Juba Office:</w:t>
      </w:r>
      <w:r w:rsidRPr="00026523">
        <w:rPr>
          <w:rFonts w:ascii="Myriad Pro Light" w:hAnsi="Myriad Pro Light"/>
          <w:sz w:val="20"/>
          <w:szCs w:val="20"/>
        </w:rPr>
        <w:t xml:space="preserve">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5CED62A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3AFABF5B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8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08BE571" w14:textId="77777777" w:rsidR="00F36FB8" w:rsidRDefault="00F36FB8" w:rsidP="00F36FB8">
      <w:pPr>
        <w:spacing w:after="0" w:line="240" w:lineRule="auto"/>
        <w:ind w:left="-706" w:firstLine="706"/>
        <w:rPr>
          <w:rFonts w:ascii="Myriad Pro Light" w:eastAsia="MS Mincho" w:hAnsi="Myriad Pro Light" w:cs="Times New Roman"/>
          <w:b/>
          <w:lang w:val="en-US"/>
        </w:rPr>
      </w:pPr>
      <w:r w:rsidRPr="006462AE">
        <w:rPr>
          <w:rFonts w:ascii="Myriad Pro Light" w:hAnsi="Myriad Pro Light"/>
          <w:b/>
          <w:sz w:val="18"/>
          <w:szCs w:val="18"/>
        </w:rPr>
        <w:t>Website: www.actionafricahelp.org</w:t>
      </w:r>
    </w:p>
    <w:p w14:paraId="51EE02A8" w14:textId="77777777" w:rsidR="00F36FB8" w:rsidRDefault="00F36FB8" w:rsidP="00F36F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F36FB8" w:rsidRPr="00DE64F8" w14:paraId="26757A19" w14:textId="77777777" w:rsidTr="00FA4F72">
        <w:trPr>
          <w:trHeight w:val="282"/>
        </w:trPr>
        <w:tc>
          <w:tcPr>
            <w:tcW w:w="10901" w:type="dxa"/>
            <w:shd w:val="clear" w:color="auto" w:fill="93D300"/>
          </w:tcPr>
          <w:p w14:paraId="32E8C25F" w14:textId="77777777" w:rsidR="00F36FB8" w:rsidRPr="00DE64F8" w:rsidRDefault="00F36FB8" w:rsidP="00FA4F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03D9E4C8" w14:textId="77777777" w:rsidR="00F36FB8" w:rsidRDefault="00F36FB8" w:rsidP="00F36FB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592A7C02" w14:textId="77777777" w:rsidR="00F36FB8" w:rsidRPr="004E7FB6" w:rsidRDefault="00F36FB8" w:rsidP="00F36FB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4DE45123" w14:textId="77777777" w:rsidR="00F36FB8" w:rsidRPr="004E7FB6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4B098195" w14:textId="77777777" w:rsidR="00F36FB8" w:rsidRPr="004E7FB6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46BD111D" w14:textId="43C663BD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 provision of</w:t>
      </w:r>
      <w:r>
        <w:rPr>
          <w:rFonts w:eastAsia="MS Mincho" w:cstheme="minorHAnsi"/>
          <w:sz w:val="20"/>
          <w:szCs w:val="20"/>
          <w:lang w:val="en-US"/>
        </w:rPr>
        <w:t xml:space="preserve"> a commercial water bull dozer services for reclamation of marram borrow pit in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Ajuong</w:t>
      </w:r>
      <w:proofErr w:type="spellEnd"/>
      <w:r>
        <w:rPr>
          <w:rFonts w:eastAsia="MS Mincho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eastAsia="MS Mincho" w:cstheme="minorHAnsi"/>
          <w:sz w:val="20"/>
          <w:szCs w:val="20"/>
          <w:lang w:val="en-US"/>
        </w:rPr>
        <w:t>Thok</w:t>
      </w:r>
      <w:proofErr w:type="spellEnd"/>
      <w:r>
        <w:rPr>
          <w:rFonts w:eastAsia="MS Mincho" w:cstheme="minorHAnsi"/>
          <w:sz w:val="20"/>
          <w:szCs w:val="20"/>
          <w:lang w:val="en-US"/>
        </w:rPr>
        <w:t>.</w:t>
      </w:r>
    </w:p>
    <w:p w14:paraId="5E465329" w14:textId="77777777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FB8" w14:paraId="6CB02721" w14:textId="77777777" w:rsidTr="00FA4F72">
        <w:tc>
          <w:tcPr>
            <w:tcW w:w="9016" w:type="dxa"/>
          </w:tcPr>
          <w:p w14:paraId="4BBEAAED" w14:textId="5749E90B" w:rsidR="00F36FB8" w:rsidRDefault="00A7476F" w:rsidP="00A7476F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All the rates  quoted in all sections  include  cost  for the provision of services of bull dozer for reclamation of marram borrow pit in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Ajuong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Thok.All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rates to include provision all necessary services of mobilization and demobilization of bull </w:t>
            </w:r>
            <w:proofErr w:type="spellStart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dozer,costs</w:t>
            </w:r>
            <w:proofErr w:type="spellEnd"/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of operator services,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costs of fuel,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costs of </w:t>
            </w:r>
            <w:r w:rsidR="00AA198B"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maintenance</w:t>
            </w:r>
            <w:r w:rsidRPr="00A7476F">
              <w:rPr>
                <w:rFonts w:ascii="Calibri" w:eastAsia="Times New Roman" w:hAnsi="Calibri" w:cs="Calibri"/>
                <w:b/>
                <w:bCs/>
                <w:lang w:val="en-US"/>
              </w:rPr>
              <w:t>, any statutory requirements and all other allied costs not mentioned herein.</w:t>
            </w:r>
          </w:p>
        </w:tc>
      </w:tr>
    </w:tbl>
    <w:p w14:paraId="3CD9FF72" w14:textId="77777777" w:rsidR="00F36FB8" w:rsidRDefault="00F36FB8" w:rsidP="00F36FB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731076A" w14:textId="569ABBD9" w:rsidR="00F36FB8" w:rsidRDefault="00F36FB8" w:rsidP="00F36FB8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</w:t>
      </w:r>
      <w:r w:rsidR="00A7476F">
        <w:rPr>
          <w:rFonts w:ascii="Calibri" w:eastAsia="Times New Roman" w:hAnsi="Calibri" w:cs="Calibri"/>
          <w:lang w:val="en-US"/>
        </w:rPr>
        <w:t xml:space="preserve">bull dozer </w:t>
      </w:r>
      <w:r>
        <w:rPr>
          <w:rFonts w:ascii="Calibri" w:eastAsia="Times New Roman" w:hAnsi="Calibri" w:cs="Calibri"/>
          <w:lang w:val="en-US"/>
        </w:rPr>
        <w:t xml:space="preserve">must be located within </w:t>
      </w:r>
      <w:r w:rsidR="00A7476F">
        <w:rPr>
          <w:rFonts w:ascii="Calibri" w:eastAsia="Times New Roman" w:hAnsi="Calibri" w:cs="Calibri"/>
          <w:lang w:val="en-US"/>
        </w:rPr>
        <w:t>Jamjang operations</w:t>
      </w:r>
      <w:r>
        <w:rPr>
          <w:rFonts w:ascii="Calibri" w:eastAsia="Times New Roman" w:hAnsi="Calibri" w:cs="Calibri"/>
          <w:lang w:val="en-US"/>
        </w:rPr>
        <w:t xml:space="preserve"> area due to current road challenges.</w:t>
      </w:r>
    </w:p>
    <w:p w14:paraId="09254715" w14:textId="5C5B2598" w:rsidR="00A7476F" w:rsidRDefault="00A7476F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The deadline for submission is </w:t>
      </w:r>
      <w:r w:rsidR="00AA198B" w:rsidRPr="00AA198B">
        <w:rPr>
          <w:rFonts w:ascii="Calibri" w:eastAsia="Times New Roman" w:hAnsi="Calibri" w:cs="Calibri"/>
          <w:b/>
          <w:bCs/>
          <w:lang w:val="en-US"/>
        </w:rPr>
        <w:t>7</w:t>
      </w:r>
      <w:r w:rsidR="00AA198B" w:rsidRPr="00AA198B">
        <w:rPr>
          <w:rFonts w:ascii="Calibri" w:eastAsia="Times New Roman" w:hAnsi="Calibri" w:cs="Calibri"/>
          <w:b/>
          <w:bCs/>
          <w:vertAlign w:val="superscript"/>
          <w:lang w:val="en-US"/>
        </w:rPr>
        <w:t>th</w:t>
      </w:r>
      <w:r w:rsidR="00CD5F55">
        <w:rPr>
          <w:rFonts w:ascii="Calibri" w:eastAsia="Times New Roman" w:hAnsi="Calibri" w:cs="Calibri"/>
          <w:b/>
          <w:bCs/>
          <w:lang w:val="en-US"/>
        </w:rPr>
        <w:t xml:space="preserve"> April</w:t>
      </w:r>
      <w:bookmarkStart w:id="0" w:name="_GoBack"/>
      <w:bookmarkEnd w:id="0"/>
      <w:r w:rsidR="00AA198B" w:rsidRPr="00AA198B">
        <w:rPr>
          <w:rFonts w:ascii="Calibri" w:eastAsia="Times New Roman" w:hAnsi="Calibri" w:cs="Calibri"/>
          <w:b/>
          <w:bCs/>
          <w:lang w:val="en-US"/>
        </w:rPr>
        <w:t>, 2022</w:t>
      </w:r>
    </w:p>
    <w:p w14:paraId="52ECE633" w14:textId="654801B9" w:rsidR="00AA198B" w:rsidRDefault="00AA198B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16771630" w14:textId="2ED226F5" w:rsidR="00AA198B" w:rsidRPr="00AA198B" w:rsidRDefault="00AA198B" w:rsidP="00F36FB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More information concerning the bid to be collected at AAHI/UNHCR Juba Logistic base OR AAHI Jamjang Logistic base.</w:t>
      </w:r>
    </w:p>
    <w:p w14:paraId="1EF63418" w14:textId="77777777" w:rsidR="00F36FB8" w:rsidRPr="0020798B" w:rsidRDefault="00F36FB8" w:rsidP="00F3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sectPr w:rsidR="00F36FB8" w:rsidRPr="0020798B" w:rsidSect="005B6F68"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9C89" w14:textId="77777777" w:rsidR="003F513F" w:rsidRDefault="003F513F">
      <w:pPr>
        <w:spacing w:after="0" w:line="240" w:lineRule="auto"/>
      </w:pPr>
      <w:r>
        <w:separator/>
      </w:r>
    </w:p>
  </w:endnote>
  <w:endnote w:type="continuationSeparator" w:id="0">
    <w:p w14:paraId="3B85EFAC" w14:textId="77777777" w:rsidR="003F513F" w:rsidRDefault="003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8F0A" w14:textId="7C0E5EF6" w:rsidR="004D2D40" w:rsidRDefault="00AA198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CD5F55" w:rsidRPr="00CD5F55">
      <w:rPr>
        <w:rFonts w:asciiTheme="majorHAnsi" w:hAnsiTheme="majorHAnsi"/>
        <w:noProof/>
      </w:rPr>
      <w:t>1</w:t>
    </w:r>
    <w:r>
      <w:fldChar w:fldCharType="end"/>
    </w:r>
  </w:p>
  <w:p w14:paraId="344C4907" w14:textId="77777777" w:rsidR="004D2D40" w:rsidRDefault="003F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4D10" w14:textId="77777777" w:rsidR="003F513F" w:rsidRDefault="003F513F">
      <w:pPr>
        <w:spacing w:after="0" w:line="240" w:lineRule="auto"/>
      </w:pPr>
      <w:r>
        <w:separator/>
      </w:r>
    </w:p>
  </w:footnote>
  <w:footnote w:type="continuationSeparator" w:id="0">
    <w:p w14:paraId="155224D9" w14:textId="77777777" w:rsidR="003F513F" w:rsidRDefault="003F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40D92"/>
    <w:multiLevelType w:val="hybridMultilevel"/>
    <w:tmpl w:val="83D65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8"/>
    <w:rsid w:val="003F513F"/>
    <w:rsid w:val="007643CA"/>
    <w:rsid w:val="00A7476F"/>
    <w:rsid w:val="00AA198B"/>
    <w:rsid w:val="00CD5F55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FC66"/>
  <w15:chartTrackingRefBased/>
  <w15:docId w15:val="{AD99D6EA-D36C-40DE-A53D-2320857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B8"/>
    <w:rPr>
      <w:lang w:val="en-GB"/>
    </w:rPr>
  </w:style>
  <w:style w:type="paragraph" w:styleId="ListParagraph">
    <w:name w:val="List Paragraph"/>
    <w:basedOn w:val="Normal"/>
    <w:uiPriority w:val="34"/>
    <w:qFormat/>
    <w:rsid w:val="00F36FB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3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dan@actionafrica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SCOPAS</cp:lastModifiedBy>
  <cp:revision>2</cp:revision>
  <dcterms:created xsi:type="dcterms:W3CDTF">2022-03-28T05:23:00Z</dcterms:created>
  <dcterms:modified xsi:type="dcterms:W3CDTF">2022-03-28T11:54:00Z</dcterms:modified>
</cp:coreProperties>
</file>