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63"/>
        <w:gridCol w:w="6753"/>
      </w:tblGrid>
      <w:tr w:rsidR="004D7B00" w:rsidRPr="00D94D51" w14:paraId="11A687D3" w14:textId="77777777" w:rsidTr="008F4BA1">
        <w:tc>
          <w:tcPr>
            <w:tcW w:w="2263" w:type="dxa"/>
            <w:shd w:val="clear" w:color="auto" w:fill="196B24" w:themeFill="accent3"/>
          </w:tcPr>
          <w:p w14:paraId="7232264B" w14:textId="77777777" w:rsidR="004D7B00" w:rsidRPr="00D94D51" w:rsidRDefault="004D7B00" w:rsidP="00A137F1">
            <w:pPr>
              <w:jc w:val="both"/>
              <w:rPr>
                <w:rFonts w:ascii="Calibri" w:hAnsi="Calibri" w:cs="Calibri"/>
                <w:b/>
                <w:bCs/>
                <w:color w:val="FFFFFF" w:themeColor="background1"/>
                <w:sz w:val="22"/>
                <w:szCs w:val="22"/>
              </w:rPr>
            </w:pPr>
            <w:r w:rsidRPr="00D94D51">
              <w:rPr>
                <w:rFonts w:ascii="Calibri" w:hAnsi="Calibri" w:cs="Calibri"/>
                <w:b/>
                <w:bCs/>
                <w:color w:val="FFFFFF" w:themeColor="background1"/>
                <w:sz w:val="22"/>
                <w:szCs w:val="22"/>
              </w:rPr>
              <w:t xml:space="preserve">Date </w:t>
            </w:r>
          </w:p>
        </w:tc>
        <w:tc>
          <w:tcPr>
            <w:tcW w:w="6753" w:type="dxa"/>
          </w:tcPr>
          <w:p w14:paraId="08F3F263" w14:textId="1E355223" w:rsidR="004D7B00" w:rsidRPr="00D94D51" w:rsidRDefault="003E6623" w:rsidP="00A137F1">
            <w:pPr>
              <w:jc w:val="both"/>
              <w:rPr>
                <w:rFonts w:ascii="Calibri" w:hAnsi="Calibri" w:cs="Calibri"/>
                <w:sz w:val="22"/>
                <w:szCs w:val="22"/>
              </w:rPr>
            </w:pPr>
            <w:r>
              <w:rPr>
                <w:rFonts w:ascii="Calibri" w:hAnsi="Calibri" w:cs="Calibri"/>
                <w:sz w:val="22"/>
                <w:szCs w:val="22"/>
              </w:rPr>
              <w:t>02/0</w:t>
            </w:r>
            <w:r w:rsidR="00A15AE4">
              <w:rPr>
                <w:rFonts w:ascii="Calibri" w:hAnsi="Calibri" w:cs="Calibri"/>
                <w:sz w:val="22"/>
                <w:szCs w:val="22"/>
              </w:rPr>
              <w:t>8/</w:t>
            </w:r>
            <w:r w:rsidR="004D7B00" w:rsidRPr="001D2FAE">
              <w:rPr>
                <w:rFonts w:ascii="Calibri" w:hAnsi="Calibri" w:cs="Calibri"/>
                <w:sz w:val="22"/>
                <w:szCs w:val="22"/>
              </w:rPr>
              <w:t>2026</w:t>
            </w:r>
          </w:p>
        </w:tc>
      </w:tr>
      <w:tr w:rsidR="004D7B00" w:rsidRPr="00D94D51" w14:paraId="2BD5FBF6" w14:textId="77777777" w:rsidTr="008F4BA1">
        <w:tc>
          <w:tcPr>
            <w:tcW w:w="2263" w:type="dxa"/>
            <w:shd w:val="clear" w:color="auto" w:fill="196B24" w:themeFill="accent3"/>
          </w:tcPr>
          <w:p w14:paraId="3CB5648C" w14:textId="77777777" w:rsidR="004D7B00" w:rsidRPr="00D94D51" w:rsidRDefault="004D7B00" w:rsidP="00A137F1">
            <w:pPr>
              <w:jc w:val="both"/>
              <w:rPr>
                <w:rFonts w:ascii="Calibri" w:hAnsi="Calibri" w:cs="Calibri"/>
                <w:b/>
                <w:bCs/>
                <w:color w:val="FFFFFF" w:themeColor="background1"/>
                <w:sz w:val="22"/>
                <w:szCs w:val="22"/>
              </w:rPr>
            </w:pPr>
            <w:r w:rsidRPr="00D94D51">
              <w:rPr>
                <w:rFonts w:ascii="Calibri" w:hAnsi="Calibri" w:cs="Calibri"/>
                <w:b/>
                <w:bCs/>
                <w:color w:val="FFFFFF" w:themeColor="background1"/>
                <w:sz w:val="22"/>
                <w:szCs w:val="22"/>
              </w:rPr>
              <w:t>Organization</w:t>
            </w:r>
          </w:p>
        </w:tc>
        <w:tc>
          <w:tcPr>
            <w:tcW w:w="6753" w:type="dxa"/>
          </w:tcPr>
          <w:p w14:paraId="15DF1FDC" w14:textId="77777777" w:rsidR="004D7B00" w:rsidRPr="00D94D51" w:rsidRDefault="004D7B00" w:rsidP="00A137F1">
            <w:pPr>
              <w:jc w:val="both"/>
              <w:rPr>
                <w:rFonts w:ascii="Calibri" w:hAnsi="Calibri" w:cs="Calibri"/>
                <w:sz w:val="22"/>
                <w:szCs w:val="22"/>
              </w:rPr>
            </w:pPr>
            <w:r w:rsidRPr="00D94D51">
              <w:rPr>
                <w:rFonts w:ascii="Calibri" w:hAnsi="Calibri" w:cs="Calibri"/>
                <w:sz w:val="22"/>
                <w:szCs w:val="22"/>
              </w:rPr>
              <w:t>GOAL South Sudan</w:t>
            </w:r>
          </w:p>
        </w:tc>
      </w:tr>
      <w:tr w:rsidR="004D7B00" w:rsidRPr="00D94D51" w14:paraId="6EA1484A" w14:textId="77777777" w:rsidTr="008F4BA1">
        <w:tc>
          <w:tcPr>
            <w:tcW w:w="2263" w:type="dxa"/>
            <w:shd w:val="clear" w:color="auto" w:fill="196B24" w:themeFill="accent3"/>
          </w:tcPr>
          <w:p w14:paraId="4B2FD951" w14:textId="77777777" w:rsidR="004D7B00" w:rsidRPr="00D94D51" w:rsidRDefault="004D7B00" w:rsidP="00A137F1">
            <w:pPr>
              <w:jc w:val="both"/>
              <w:rPr>
                <w:rFonts w:ascii="Calibri" w:hAnsi="Calibri" w:cs="Calibri"/>
                <w:b/>
                <w:bCs/>
                <w:color w:val="FFFFFF" w:themeColor="background1"/>
                <w:sz w:val="22"/>
                <w:szCs w:val="22"/>
              </w:rPr>
            </w:pPr>
            <w:r w:rsidRPr="00D94D51">
              <w:rPr>
                <w:rFonts w:ascii="Calibri" w:hAnsi="Calibri" w:cs="Calibri"/>
                <w:b/>
                <w:bCs/>
                <w:color w:val="FFFFFF" w:themeColor="background1"/>
                <w:sz w:val="22"/>
                <w:szCs w:val="22"/>
              </w:rPr>
              <w:t xml:space="preserve">Location </w:t>
            </w:r>
          </w:p>
        </w:tc>
        <w:tc>
          <w:tcPr>
            <w:tcW w:w="6753" w:type="dxa"/>
          </w:tcPr>
          <w:p w14:paraId="05B0E72C" w14:textId="71210AC0" w:rsidR="004D7B00" w:rsidRPr="00D94D51" w:rsidRDefault="004D7B00" w:rsidP="00A137F1">
            <w:pPr>
              <w:jc w:val="both"/>
              <w:rPr>
                <w:rFonts w:ascii="Calibri" w:hAnsi="Calibri" w:cs="Calibri"/>
                <w:sz w:val="22"/>
                <w:szCs w:val="22"/>
              </w:rPr>
            </w:pPr>
            <w:r w:rsidRPr="00D94D51">
              <w:rPr>
                <w:rFonts w:ascii="Calibri" w:hAnsi="Calibri" w:cs="Calibri"/>
                <w:sz w:val="22"/>
                <w:szCs w:val="22"/>
              </w:rPr>
              <w:t xml:space="preserve">Juba </w:t>
            </w:r>
            <w:r w:rsidR="00A01F73" w:rsidRPr="00D94D51">
              <w:rPr>
                <w:rFonts w:ascii="Calibri" w:hAnsi="Calibri" w:cs="Calibri"/>
                <w:sz w:val="22"/>
                <w:szCs w:val="22"/>
              </w:rPr>
              <w:t>with business in Greater Upper Nile State</w:t>
            </w:r>
          </w:p>
        </w:tc>
      </w:tr>
      <w:tr w:rsidR="004D7B00" w:rsidRPr="00D94D51" w14:paraId="6E140C29" w14:textId="77777777" w:rsidTr="008F4BA1">
        <w:tc>
          <w:tcPr>
            <w:tcW w:w="2263" w:type="dxa"/>
            <w:shd w:val="clear" w:color="auto" w:fill="196B24" w:themeFill="accent3"/>
          </w:tcPr>
          <w:p w14:paraId="3C5F3FC3" w14:textId="77777777" w:rsidR="004D7B00" w:rsidRPr="00D94D51" w:rsidRDefault="004D7B00" w:rsidP="00A137F1">
            <w:pPr>
              <w:jc w:val="both"/>
              <w:rPr>
                <w:rFonts w:ascii="Calibri" w:hAnsi="Calibri" w:cs="Calibri"/>
                <w:b/>
                <w:bCs/>
                <w:color w:val="FFFFFF" w:themeColor="background1"/>
                <w:sz w:val="22"/>
                <w:szCs w:val="22"/>
              </w:rPr>
            </w:pPr>
            <w:r w:rsidRPr="00D94D51">
              <w:rPr>
                <w:rFonts w:ascii="Calibri" w:hAnsi="Calibri" w:cs="Calibri"/>
                <w:b/>
                <w:bCs/>
                <w:color w:val="FFFFFF" w:themeColor="background1"/>
                <w:sz w:val="22"/>
                <w:szCs w:val="22"/>
              </w:rPr>
              <w:t xml:space="preserve">Focus </w:t>
            </w:r>
          </w:p>
        </w:tc>
        <w:tc>
          <w:tcPr>
            <w:tcW w:w="6753" w:type="dxa"/>
          </w:tcPr>
          <w:p w14:paraId="2D1DDF80" w14:textId="285240D7" w:rsidR="004D7B00" w:rsidRPr="00D94D51" w:rsidRDefault="004D7B00" w:rsidP="00A137F1">
            <w:pPr>
              <w:jc w:val="both"/>
              <w:rPr>
                <w:rFonts w:ascii="Calibri" w:hAnsi="Calibri" w:cs="Calibri"/>
                <w:sz w:val="22"/>
                <w:szCs w:val="22"/>
              </w:rPr>
            </w:pPr>
            <w:r w:rsidRPr="00D94D51">
              <w:rPr>
                <w:rFonts w:ascii="Calibri" w:hAnsi="Calibri" w:cs="Calibri"/>
                <w:sz w:val="22"/>
                <w:szCs w:val="22"/>
              </w:rPr>
              <w:t>Ethical Due Diligence for Financial Institutions</w:t>
            </w:r>
            <w:r w:rsidR="00A01F73" w:rsidRPr="00D94D51">
              <w:rPr>
                <w:rFonts w:ascii="Calibri" w:hAnsi="Calibri" w:cs="Calibri"/>
                <w:sz w:val="22"/>
                <w:szCs w:val="22"/>
              </w:rPr>
              <w:t xml:space="preserve"> and Mobile Network Operator</w:t>
            </w:r>
          </w:p>
        </w:tc>
      </w:tr>
    </w:tbl>
    <w:p w14:paraId="1FBE39EC" w14:textId="77777777" w:rsidR="00957679" w:rsidRDefault="00957679" w:rsidP="00957679">
      <w:pPr>
        <w:pStyle w:val="NoSpacing"/>
        <w:spacing w:before="0" w:line="276" w:lineRule="auto"/>
        <w:jc w:val="both"/>
        <w:rPr>
          <w:rFonts w:eastAsiaTheme="minorHAnsi" w:cstheme="minorHAnsi"/>
          <w:b/>
          <w:color w:val="087838"/>
          <w:sz w:val="26"/>
          <w:szCs w:val="26"/>
        </w:rPr>
      </w:pPr>
    </w:p>
    <w:p w14:paraId="6E398B74" w14:textId="75F05372" w:rsidR="009A4B7B" w:rsidRPr="00957679" w:rsidRDefault="009A4B7B" w:rsidP="00957679">
      <w:pPr>
        <w:pStyle w:val="NoSpacing"/>
        <w:spacing w:before="0" w:line="276" w:lineRule="auto"/>
        <w:jc w:val="both"/>
        <w:rPr>
          <w:rFonts w:ascii="Calibri" w:eastAsiaTheme="minorHAnsi" w:hAnsi="Calibri" w:cs="Calibri"/>
          <w:b/>
          <w:bCs/>
        </w:rPr>
      </w:pPr>
      <w:r w:rsidRPr="00957679">
        <w:rPr>
          <w:rFonts w:eastAsiaTheme="minorHAnsi" w:cstheme="minorHAnsi"/>
          <w:b/>
          <w:color w:val="087838"/>
          <w:sz w:val="26"/>
          <w:szCs w:val="26"/>
        </w:rPr>
        <w:t>Background</w:t>
      </w:r>
    </w:p>
    <w:p w14:paraId="54E4C032" w14:textId="76185574" w:rsidR="00F122A4" w:rsidRPr="001D2FAE" w:rsidRDefault="004D7B00" w:rsidP="00F122A4">
      <w:pPr>
        <w:jc w:val="both"/>
        <w:rPr>
          <w:rFonts w:asciiTheme="majorHAnsi" w:eastAsiaTheme="majorEastAsia" w:hAnsiTheme="majorHAnsi" w:cs="Calibri"/>
          <w:b/>
          <w:bCs/>
          <w:color w:val="0F4761" w:themeColor="accent1" w:themeShade="BF"/>
          <w:sz w:val="22"/>
          <w:szCs w:val="22"/>
          <w:lang w:val="en-GB" w:eastAsia="en-US"/>
        </w:rPr>
      </w:pPr>
      <w:r w:rsidRPr="001D2FAE">
        <w:rPr>
          <w:rFonts w:asciiTheme="majorHAnsi" w:eastAsiaTheme="minorHAnsi" w:hAnsiTheme="majorHAnsi" w:cs="Calibri"/>
          <w:sz w:val="22"/>
          <w:szCs w:val="22"/>
          <w:lang w:val="en-GB" w:eastAsia="en-US"/>
        </w:rPr>
        <w:t xml:space="preserve">GOAL is an Irish international humanitarian organization founded in 1977, dedicated to alleviating the needs of the most vulnerable communities. The organization’s program portfolio currently spreads across 13 of the world’s most vulnerable countries. GOAL delivers a wide range of humanitarian and development programs, from disaster relief to nutrition, food security, and building greater resilience and sustainable livelihoods. </w:t>
      </w:r>
      <w:r w:rsidR="00A01F73" w:rsidRPr="001D2FAE">
        <w:rPr>
          <w:rFonts w:asciiTheme="majorHAnsi" w:eastAsiaTheme="minorHAnsi" w:hAnsiTheme="majorHAnsi" w:cs="Calibri"/>
          <w:sz w:val="22"/>
          <w:szCs w:val="22"/>
          <w:lang w:val="en-GB" w:eastAsia="en-US"/>
        </w:rPr>
        <w:t>South Sudan is one of the Countries where GOAL is working and</w:t>
      </w:r>
      <w:r w:rsidRPr="001D2FAE">
        <w:rPr>
          <w:rFonts w:asciiTheme="majorHAnsi" w:eastAsiaTheme="minorHAnsi" w:hAnsiTheme="majorHAnsi" w:cs="Calibri"/>
          <w:sz w:val="22"/>
          <w:szCs w:val="22"/>
          <w:lang w:val="en-GB" w:eastAsia="en-US"/>
        </w:rPr>
        <w:t xml:space="preserve"> has been </w:t>
      </w:r>
      <w:r w:rsidR="00A01F73" w:rsidRPr="001D2FAE">
        <w:rPr>
          <w:rFonts w:asciiTheme="majorHAnsi" w:eastAsiaTheme="minorHAnsi" w:hAnsiTheme="majorHAnsi" w:cs="Calibri"/>
          <w:sz w:val="22"/>
          <w:szCs w:val="22"/>
          <w:lang w:val="en-GB" w:eastAsia="en-US"/>
        </w:rPr>
        <w:t>in operation</w:t>
      </w:r>
      <w:r w:rsidRPr="001D2FAE">
        <w:rPr>
          <w:rFonts w:asciiTheme="majorHAnsi" w:eastAsiaTheme="minorHAnsi" w:hAnsiTheme="majorHAnsi" w:cs="Calibri"/>
          <w:sz w:val="22"/>
          <w:szCs w:val="22"/>
          <w:lang w:val="en-GB" w:eastAsia="en-US"/>
        </w:rPr>
        <w:t xml:space="preserve"> since 1985, focusing on health, nutrition, WASH, food security, and livelihoods. GOAL is continually adapting and responding to the context to support the communities where we work. Currently, GOAL works in Twic County in Warrap State, Abyei/Agok in the Abyei Administrative Area,</w:t>
      </w:r>
      <w:r w:rsidR="00A01F73" w:rsidRPr="001D2FAE">
        <w:rPr>
          <w:rFonts w:asciiTheme="majorHAnsi" w:eastAsiaTheme="minorHAnsi" w:hAnsiTheme="majorHAnsi" w:cs="Calibri"/>
          <w:sz w:val="22"/>
          <w:szCs w:val="22"/>
          <w:lang w:val="en-GB" w:eastAsia="en-US"/>
        </w:rPr>
        <w:t xml:space="preserve"> in Rubkona in Unity State,</w:t>
      </w:r>
      <w:r w:rsidRPr="001D2FAE">
        <w:rPr>
          <w:rFonts w:asciiTheme="majorHAnsi" w:eastAsiaTheme="minorHAnsi" w:hAnsiTheme="majorHAnsi" w:cs="Calibri"/>
          <w:sz w:val="22"/>
          <w:szCs w:val="22"/>
          <w:lang w:val="en-GB" w:eastAsia="en-US"/>
        </w:rPr>
        <w:t xml:space="preserve"> Renk &amp; Ulang Counties in Upper Nile State, &amp; Kajo Keji County in Central Equatoria State.</w:t>
      </w:r>
      <w:bookmarkStart w:id="0" w:name="_Toc232423938"/>
    </w:p>
    <w:p w14:paraId="366CBE67" w14:textId="2E963E67" w:rsidR="004D7B00" w:rsidRPr="00957679" w:rsidRDefault="00F122A4" w:rsidP="00957679">
      <w:pPr>
        <w:pStyle w:val="NoSpacing"/>
        <w:spacing w:before="0" w:line="276" w:lineRule="auto"/>
        <w:jc w:val="both"/>
        <w:rPr>
          <w:rFonts w:eastAsiaTheme="minorHAnsi" w:cstheme="minorHAnsi"/>
          <w:b/>
          <w:color w:val="087838"/>
          <w:sz w:val="26"/>
          <w:szCs w:val="26"/>
        </w:rPr>
      </w:pPr>
      <w:r w:rsidRPr="00957679">
        <w:rPr>
          <w:rFonts w:eastAsiaTheme="minorHAnsi" w:cstheme="minorHAnsi"/>
          <w:b/>
          <w:color w:val="087838"/>
          <w:sz w:val="26"/>
          <w:szCs w:val="26"/>
        </w:rPr>
        <w:t>Pr</w:t>
      </w:r>
      <w:r w:rsidR="004D7B00" w:rsidRPr="00957679">
        <w:rPr>
          <w:rFonts w:eastAsiaTheme="minorHAnsi" w:cstheme="minorHAnsi"/>
          <w:b/>
          <w:color w:val="087838"/>
          <w:sz w:val="26"/>
          <w:szCs w:val="26"/>
        </w:rPr>
        <w:t>ogramme Approach: Market System Development (MSD) Lens</w:t>
      </w:r>
      <w:bookmarkEnd w:id="0"/>
    </w:p>
    <w:p w14:paraId="04D13CAE" w14:textId="77777777" w:rsidR="004D7B00" w:rsidRPr="001D2FAE" w:rsidRDefault="004D7B00" w:rsidP="00A137F1">
      <w:pPr>
        <w:jc w:val="both"/>
        <w:rPr>
          <w:rFonts w:asciiTheme="majorHAnsi" w:eastAsiaTheme="minorHAnsi" w:hAnsiTheme="majorHAnsi" w:cs="Calibri"/>
          <w:sz w:val="22"/>
          <w:szCs w:val="22"/>
          <w:lang w:val="en-GB" w:eastAsia="en-US"/>
        </w:rPr>
      </w:pPr>
      <w:r w:rsidRPr="001D2FAE">
        <w:rPr>
          <w:rFonts w:asciiTheme="majorHAnsi" w:eastAsiaTheme="minorHAnsi" w:hAnsiTheme="majorHAnsi" w:cs="Calibri"/>
          <w:noProof/>
          <w:sz w:val="22"/>
          <w:szCs w:val="22"/>
          <w:lang w:val="en-GB" w:eastAsia="en-GB"/>
        </w:rPr>
        <w:drawing>
          <wp:anchor distT="0" distB="0" distL="114300" distR="114300" simplePos="0" relativeHeight="251659264" behindDoc="1" locked="0" layoutInCell="1" allowOverlap="1" wp14:anchorId="7A48541B" wp14:editId="4E852E1B">
            <wp:simplePos x="0" y="0"/>
            <wp:positionH relativeFrom="page">
              <wp:posOffset>4625975</wp:posOffset>
            </wp:positionH>
            <wp:positionV relativeFrom="paragraph">
              <wp:posOffset>153670</wp:posOffset>
            </wp:positionV>
            <wp:extent cx="2383790" cy="2254250"/>
            <wp:effectExtent l="0" t="0" r="0" b="0"/>
            <wp:wrapTight wrapText="bothSides">
              <wp:wrapPolygon edited="0">
                <wp:start x="10012" y="183"/>
                <wp:lineTo x="8803" y="730"/>
                <wp:lineTo x="6214" y="2738"/>
                <wp:lineTo x="6214" y="6389"/>
                <wp:lineTo x="7250" y="9309"/>
                <wp:lineTo x="2244" y="12230"/>
                <wp:lineTo x="1036" y="13508"/>
                <wp:lineTo x="173" y="14785"/>
                <wp:lineTo x="173" y="15698"/>
                <wp:lineTo x="345" y="18071"/>
                <wp:lineTo x="518" y="18801"/>
                <wp:lineTo x="3107" y="20444"/>
                <wp:lineTo x="4143" y="20809"/>
                <wp:lineTo x="16916" y="20809"/>
                <wp:lineTo x="17952" y="20444"/>
                <wp:lineTo x="20714" y="18619"/>
                <wp:lineTo x="21232" y="14785"/>
                <wp:lineTo x="19851" y="13143"/>
                <wp:lineTo x="18815" y="12230"/>
                <wp:lineTo x="13982" y="9309"/>
                <wp:lineTo x="15018" y="6389"/>
                <wp:lineTo x="15190" y="2738"/>
                <wp:lineTo x="12428" y="730"/>
                <wp:lineTo x="11047" y="183"/>
                <wp:lineTo x="10012" y="183"/>
              </wp:wrapPolygon>
            </wp:wrapTight>
            <wp:docPr id="5" name="Picture 3">
              <a:extLst xmlns:a="http://schemas.openxmlformats.org/drawingml/2006/main">
                <a:ext uri="{FF2B5EF4-FFF2-40B4-BE49-F238E27FC236}">
                  <a16:creationId xmlns:a16="http://schemas.microsoft.com/office/drawing/2014/main" id="{DACAFA89-D74D-4046-9DFF-78B40AC5D7E0}"/>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ACAFA89-D74D-4046-9DFF-78B40AC5D7E0}"/>
                        </a:ext>
                      </a:extLst>
                    </pic:cNvPr>
                    <pic:cNvPicPr/>
                  </pic:nvPicPr>
                  <pic:blipFill rotWithShape="1">
                    <a:blip r:embed="rId10" cstate="print">
                      <a:extLst>
                        <a:ext uri="{28A0092B-C50C-407E-A947-70E740481C1C}">
                          <a14:useLocalDpi xmlns:a14="http://schemas.microsoft.com/office/drawing/2010/main" val="0"/>
                        </a:ext>
                      </a:extLst>
                    </a:blip>
                    <a:srcRect l="9513" t="2550" r="8644" b="17674"/>
                    <a:stretch/>
                  </pic:blipFill>
                  <pic:spPr>
                    <a:xfrm>
                      <a:off x="0" y="0"/>
                      <a:ext cx="2383790" cy="2254250"/>
                    </a:xfrm>
                    <a:prstGeom prst="rect">
                      <a:avLst/>
                    </a:prstGeom>
                  </pic:spPr>
                </pic:pic>
              </a:graphicData>
            </a:graphic>
            <wp14:sizeRelH relativeFrom="page">
              <wp14:pctWidth>0</wp14:pctWidth>
            </wp14:sizeRelH>
            <wp14:sizeRelV relativeFrom="page">
              <wp14:pctHeight>0</wp14:pctHeight>
            </wp14:sizeRelV>
          </wp:anchor>
        </w:drawing>
      </w:r>
      <w:r w:rsidRPr="001D2FAE">
        <w:rPr>
          <w:rFonts w:asciiTheme="majorHAnsi" w:eastAsiaTheme="minorHAnsi" w:hAnsiTheme="majorHAnsi" w:cs="Calibri"/>
          <w:b/>
          <w:noProof/>
          <w:sz w:val="22"/>
          <w:szCs w:val="22"/>
          <w:highlight w:val="yellow"/>
          <w:lang w:val="en-GB" w:eastAsia="en-GB"/>
        </w:rPr>
        <mc:AlternateContent>
          <mc:Choice Requires="wps">
            <w:drawing>
              <wp:anchor distT="45720" distB="45720" distL="114300" distR="114300" simplePos="0" relativeHeight="251660288" behindDoc="1" locked="0" layoutInCell="1" allowOverlap="1" wp14:anchorId="0BF45EED" wp14:editId="38EA72A1">
                <wp:simplePos x="0" y="0"/>
                <wp:positionH relativeFrom="margin">
                  <wp:posOffset>4210050</wp:posOffset>
                </wp:positionH>
                <wp:positionV relativeFrom="paragraph">
                  <wp:posOffset>2178685</wp:posOffset>
                </wp:positionV>
                <wp:extent cx="1657350" cy="285750"/>
                <wp:effectExtent l="0" t="0" r="0" b="0"/>
                <wp:wrapTight wrapText="bothSides">
                  <wp:wrapPolygon edited="0">
                    <wp:start x="0" y="0"/>
                    <wp:lineTo x="0" y="20160"/>
                    <wp:lineTo x="21352" y="20160"/>
                    <wp:lineTo x="21352"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85750"/>
                        </a:xfrm>
                        <a:prstGeom prst="rect">
                          <a:avLst/>
                        </a:prstGeom>
                        <a:solidFill>
                          <a:srgbClr val="FFFFFF"/>
                        </a:solidFill>
                        <a:ln w="9525">
                          <a:noFill/>
                          <a:miter lim="800000"/>
                          <a:headEnd/>
                          <a:tailEnd/>
                        </a:ln>
                      </wps:spPr>
                      <wps:txbx>
                        <w:txbxContent>
                          <w:p w14:paraId="105F36BD" w14:textId="77777777" w:rsidR="004D7B00" w:rsidRPr="0064589B" w:rsidRDefault="004D7B00" w:rsidP="004D7B00">
                            <w:pPr>
                              <w:rPr>
                                <w:rFonts w:cstheme="minorHAnsi"/>
                                <w:b/>
                                <w:sz w:val="18"/>
                                <w:szCs w:val="18"/>
                              </w:rPr>
                            </w:pPr>
                            <w:r w:rsidRPr="0064589B">
                              <w:rPr>
                                <w:rFonts w:cstheme="minorHAnsi"/>
                                <w:b/>
                                <w:sz w:val="18"/>
                                <w:szCs w:val="18"/>
                              </w:rPr>
                              <w:t>The permanent players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F45EED" id="_x0000_t202" coordsize="21600,21600" o:spt="202" path="m,l,21600r21600,l21600,xe">
                <v:stroke joinstyle="miter"/>
                <v:path gradientshapeok="t" o:connecttype="rect"/>
              </v:shapetype>
              <v:shape id="Text Box 1" o:spid="_x0000_s1026" type="#_x0000_t202" style="position:absolute;left:0;text-align:left;margin-left:331.5pt;margin-top:171.55pt;width:130.5pt;height:2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" stroked="f">
                <v:textbox>
                  <w:txbxContent>
                    <w:p w14:paraId="105F36BD" w14:textId="77777777" w:rsidR="004D7B00" w:rsidRPr="0064589B" w:rsidRDefault="004D7B00" w:rsidP="004D7B00">
                      <w:pPr>
                        <w:rPr>
                          <w:rFonts w:cstheme="minorHAnsi"/>
                          <w:b/>
                          <w:sz w:val="18"/>
                          <w:szCs w:val="18"/>
                        </w:rPr>
                      </w:pPr>
                      <w:r w:rsidRPr="0064589B">
                        <w:rPr>
                          <w:rFonts w:cstheme="minorHAnsi"/>
                          <w:b/>
                          <w:sz w:val="18"/>
                          <w:szCs w:val="18"/>
                        </w:rPr>
                        <w:t>The permanent players</w:t>
                      </w:r>
                    </w:p>
                  </w:txbxContent>
                </v:textbox>
                <w10:wrap type="tight" anchorx="margin"/>
              </v:shape>
            </w:pict>
          </mc:Fallback>
        </mc:AlternateContent>
      </w:r>
      <w:r w:rsidRPr="001D2FAE">
        <w:rPr>
          <w:rFonts w:asciiTheme="majorHAnsi" w:eastAsiaTheme="minorHAnsi" w:hAnsiTheme="majorHAnsi" w:cs="Calibri"/>
          <w:sz w:val="22"/>
          <w:szCs w:val="22"/>
          <w:lang w:val="en-GB" w:eastAsia="en-US"/>
        </w:rPr>
        <w:t xml:space="preserve">GOAL uses the Market Systems Development (MSD) approach to bring about systems change. Market systems are vital to our well-being, yet they falter when war, violence, and natural disasters rip through communities. However, even during prolonged crises, such as the one affecting South Sudan, markets rarely collapse entirely. Extensive research demonstrates that crisis-affected households often rely much more on local markets and social networks than on external humanitarian aid. Despite the importance of market systems, the aid community has historically focused on direct provision of commodities and services to meet the needs of crisis-affected people. This approach has often undermined communities’ ability to cope without aid and hampered the longer-term transition out of crisis. GOAL’s MSD approach has shown through impact evaluations and research to be an effective catalyst for systems-level changes that strengthen the resilience and pro-poor functionality of markets. </w:t>
      </w:r>
    </w:p>
    <w:p w14:paraId="31CC5FEC" w14:textId="77777777" w:rsidR="00ED2522" w:rsidRPr="001D2FAE" w:rsidRDefault="004D7B00" w:rsidP="00A137F1">
      <w:pPr>
        <w:jc w:val="both"/>
        <w:rPr>
          <w:rFonts w:asciiTheme="majorHAnsi" w:eastAsiaTheme="minorHAnsi" w:hAnsiTheme="majorHAnsi" w:cs="Calibri"/>
          <w:sz w:val="22"/>
          <w:szCs w:val="22"/>
          <w:lang w:val="en-GB" w:eastAsia="en-US"/>
        </w:rPr>
      </w:pPr>
      <w:r w:rsidRPr="001D2FAE">
        <w:rPr>
          <w:rFonts w:asciiTheme="majorHAnsi" w:eastAsiaTheme="minorHAnsi" w:hAnsiTheme="majorHAnsi" w:cs="Calibri"/>
          <w:sz w:val="22"/>
          <w:szCs w:val="22"/>
          <w:lang w:val="en-GB" w:eastAsia="en-US"/>
        </w:rPr>
        <w:t xml:space="preserve">The MSD approach involves working closely with a range of market actors from strategically selected parts of the value chain and its enabling environment. At its heart, the MSD approach seeks to facilitate change within a market system rather than through direct service provision, thereby driving widespread, sustainable change at scale. The MSD blends social and economic objectives, strengthening the bottom line whilst contributing to social, economic, and environmental outcomes. Partnering with the permanent players (i.e., government, community &amp; civil society, and the private sector) is key to improving the market systems in which the crisis-affected people work and live. </w:t>
      </w:r>
    </w:p>
    <w:p w14:paraId="6A1188B8" w14:textId="47D78314" w:rsidR="004D7B00" w:rsidRPr="001D2FAE" w:rsidRDefault="004D7B00" w:rsidP="00A137F1">
      <w:pPr>
        <w:jc w:val="both"/>
        <w:rPr>
          <w:rFonts w:asciiTheme="majorHAnsi" w:eastAsiaTheme="minorHAnsi" w:hAnsiTheme="majorHAnsi" w:cs="Calibri"/>
          <w:sz w:val="22"/>
          <w:szCs w:val="22"/>
          <w:lang w:val="en-GB" w:eastAsia="en-US"/>
        </w:rPr>
      </w:pPr>
      <w:r w:rsidRPr="001D2FAE">
        <w:rPr>
          <w:rFonts w:asciiTheme="majorHAnsi" w:eastAsiaTheme="minorHAnsi" w:hAnsiTheme="majorHAnsi" w:cs="Calibri"/>
          <w:sz w:val="22"/>
          <w:szCs w:val="22"/>
          <w:lang w:val="en-GB" w:eastAsia="en-US"/>
        </w:rPr>
        <w:t xml:space="preserve">Under the MSD framework, GOAL works with a range of private-sector partners, from micro-enterprises to small &amp; medium enterprises (SMEs), corporate businesses including banks, and social investors, across our global program portfolio. </w:t>
      </w:r>
    </w:p>
    <w:p w14:paraId="671AAED1" w14:textId="77777777" w:rsidR="00F122A4" w:rsidRPr="001D2FAE" w:rsidRDefault="004D7B00" w:rsidP="00F122A4">
      <w:pPr>
        <w:jc w:val="both"/>
        <w:rPr>
          <w:rFonts w:asciiTheme="majorHAnsi" w:eastAsiaTheme="minorHAnsi" w:hAnsiTheme="majorHAnsi" w:cs="Calibri"/>
          <w:sz w:val="22"/>
          <w:szCs w:val="22"/>
          <w:lang w:val="en-GB" w:eastAsia="en-US"/>
        </w:rPr>
      </w:pPr>
      <w:r w:rsidRPr="001D2FAE">
        <w:rPr>
          <w:rFonts w:asciiTheme="majorHAnsi" w:eastAsiaTheme="minorHAnsi" w:hAnsiTheme="majorHAnsi" w:cs="Calibri"/>
          <w:sz w:val="22"/>
          <w:szCs w:val="22"/>
          <w:lang w:val="en-GB" w:eastAsia="en-US"/>
        </w:rPr>
        <w:lastRenderedPageBreak/>
        <w:t>We work with SMEs to increase access to critical goods and services, and to economic opportunities, for poor people; most often, this is within severely disrupted and ‘thin’ markets. We also work with corporate businesses to leverage technology and skills, as well as business and financial services for SMEs. GOAL works with governments and SMEs to support public-private partnerships and to link SMEs to social investors.</w:t>
      </w:r>
      <w:bookmarkStart w:id="1" w:name="_Toc232423939"/>
    </w:p>
    <w:p w14:paraId="1388EE13" w14:textId="624E0B77" w:rsidR="004D7B00" w:rsidRPr="00957679" w:rsidRDefault="00F122A4" w:rsidP="00957679">
      <w:pPr>
        <w:pStyle w:val="NoSpacing"/>
        <w:spacing w:before="0" w:line="276" w:lineRule="auto"/>
        <w:jc w:val="both"/>
        <w:rPr>
          <w:rFonts w:eastAsiaTheme="minorHAnsi" w:cstheme="minorHAnsi"/>
          <w:b/>
          <w:color w:val="087838"/>
          <w:sz w:val="26"/>
          <w:szCs w:val="26"/>
        </w:rPr>
      </w:pPr>
      <w:r w:rsidRPr="00957679">
        <w:rPr>
          <w:rFonts w:eastAsiaTheme="minorHAnsi" w:cstheme="minorHAnsi"/>
          <w:b/>
          <w:color w:val="087838"/>
          <w:sz w:val="26"/>
          <w:szCs w:val="26"/>
        </w:rPr>
        <w:t>M</w:t>
      </w:r>
      <w:r w:rsidR="004D7B00" w:rsidRPr="00957679">
        <w:rPr>
          <w:rFonts w:eastAsiaTheme="minorHAnsi" w:cstheme="minorHAnsi"/>
          <w:b/>
          <w:color w:val="087838"/>
          <w:sz w:val="26"/>
          <w:szCs w:val="26"/>
        </w:rPr>
        <w:t>arketing Support Service</w:t>
      </w:r>
      <w:bookmarkEnd w:id="1"/>
      <w:r w:rsidR="004D7B00" w:rsidRPr="00957679">
        <w:rPr>
          <w:rFonts w:eastAsiaTheme="minorHAnsi" w:cstheme="minorHAnsi"/>
          <w:b/>
          <w:color w:val="087838"/>
          <w:sz w:val="26"/>
          <w:szCs w:val="26"/>
        </w:rPr>
        <w:t xml:space="preserve">  </w:t>
      </w:r>
    </w:p>
    <w:p w14:paraId="5FB49929" w14:textId="77777777" w:rsidR="00F122A4" w:rsidRPr="007A136C" w:rsidRDefault="004D7B00" w:rsidP="00F122A4">
      <w:pPr>
        <w:jc w:val="both"/>
        <w:rPr>
          <w:rFonts w:asciiTheme="majorHAnsi" w:eastAsiaTheme="minorHAnsi" w:hAnsiTheme="majorHAnsi" w:cs="Calibri"/>
          <w:sz w:val="22"/>
          <w:szCs w:val="22"/>
          <w:lang w:val="en-GB" w:eastAsia="en-US"/>
        </w:rPr>
      </w:pPr>
      <w:r w:rsidRPr="007A136C">
        <w:rPr>
          <w:rFonts w:asciiTheme="majorHAnsi" w:eastAsiaTheme="minorHAnsi" w:hAnsiTheme="majorHAnsi" w:cs="Calibri"/>
          <w:sz w:val="22"/>
          <w:szCs w:val="22"/>
          <w:lang w:val="en-GB" w:eastAsia="en-US"/>
        </w:rPr>
        <w:t>The importance and contribution of Micro and Small Enterprises (MSEs) in stimulating development, hence growth, is acknowledged, particularly in developing countries. These are small, informally organized commercial operations owned and operated mostly by the poor. They account for a substantial share of total employment and gross domestic product (GDP) and contribute significantly to poverty alleviation and income creation. In the agricultural sector, the majority of these are still in their budding stages, with many existing enterprises small and informal, using very simple, traditional technologies, and serving a limited local market. There is thus a growing recognition of a need for micro-level approaches that address the specific problems facing small-scale entrepreneurial activity.</w:t>
      </w:r>
      <w:bookmarkStart w:id="2" w:name="_Toc232423940"/>
    </w:p>
    <w:p w14:paraId="3DD93F63" w14:textId="2C4149AF" w:rsidR="004D7B00" w:rsidRPr="00957679" w:rsidRDefault="00F122A4" w:rsidP="00957679">
      <w:pPr>
        <w:pStyle w:val="NoSpacing"/>
        <w:spacing w:before="0" w:line="276" w:lineRule="auto"/>
        <w:jc w:val="both"/>
        <w:rPr>
          <w:rFonts w:eastAsiaTheme="minorHAnsi" w:cstheme="minorHAnsi"/>
          <w:b/>
          <w:color w:val="087838"/>
          <w:sz w:val="26"/>
          <w:szCs w:val="26"/>
        </w:rPr>
      </w:pPr>
      <w:r w:rsidRPr="00957679">
        <w:rPr>
          <w:rFonts w:eastAsiaTheme="minorHAnsi" w:cstheme="minorHAnsi"/>
          <w:b/>
          <w:color w:val="087838"/>
          <w:sz w:val="26"/>
          <w:szCs w:val="26"/>
        </w:rPr>
        <w:t>TH</w:t>
      </w:r>
      <w:r w:rsidR="004D7B00" w:rsidRPr="00957679">
        <w:rPr>
          <w:rFonts w:eastAsiaTheme="minorHAnsi" w:cstheme="minorHAnsi"/>
          <w:b/>
          <w:color w:val="087838"/>
          <w:sz w:val="26"/>
          <w:szCs w:val="26"/>
        </w:rPr>
        <w:t>RIVE Programme South Sudan</w:t>
      </w:r>
      <w:bookmarkEnd w:id="2"/>
    </w:p>
    <w:p w14:paraId="526186E4" w14:textId="77777777" w:rsidR="004D7B00" w:rsidRPr="001D2FAE" w:rsidRDefault="004D7B00" w:rsidP="00A137F1">
      <w:pPr>
        <w:jc w:val="both"/>
        <w:rPr>
          <w:rFonts w:asciiTheme="majorHAnsi" w:eastAsiaTheme="minorHAnsi" w:hAnsiTheme="majorHAnsi" w:cs="Calibri"/>
          <w:sz w:val="22"/>
          <w:szCs w:val="22"/>
          <w:lang w:val="en-GB" w:eastAsia="en-US"/>
        </w:rPr>
      </w:pPr>
      <w:r w:rsidRPr="001D2FAE">
        <w:rPr>
          <w:rFonts w:asciiTheme="majorHAnsi" w:eastAsiaTheme="minorHAnsi" w:hAnsiTheme="majorHAnsi" w:cs="Calibri"/>
          <w:sz w:val="22"/>
          <w:szCs w:val="22"/>
          <w:lang w:val="en-GB" w:eastAsia="en-US"/>
        </w:rPr>
        <w:t xml:space="preserve">GOAL is implementing the Transforming Household Resilience through Inclusive Economic Development in South Sudan (THRIVE) project by FCDO. The THRIVE program aims to bolster resilience among conflict- and climate-affected communities in the Greater Upper Nile (GUN). Targeting eight priority counties in Upper Nile, Unity, and Jonglei States over four years, THRIVE will reach approximately 120,000 households with gender-responsive and inclusive livelihoods development, market system strengthening, financial inclusion, women’s economic empowerment, climate adaptation, and social cohesion activities. </w:t>
      </w:r>
    </w:p>
    <w:p w14:paraId="5A2C844A" w14:textId="541617AA" w:rsidR="00F122A4" w:rsidRPr="001D2FAE" w:rsidRDefault="004D7B00" w:rsidP="00F122A4">
      <w:pPr>
        <w:jc w:val="both"/>
        <w:rPr>
          <w:rFonts w:asciiTheme="majorHAnsi" w:eastAsiaTheme="minorHAnsi" w:hAnsiTheme="majorHAnsi" w:cs="Calibri"/>
          <w:sz w:val="22"/>
          <w:szCs w:val="22"/>
          <w:lang w:val="en-GB" w:eastAsia="en-US"/>
        </w:rPr>
      </w:pPr>
      <w:r w:rsidRPr="001D2FAE">
        <w:rPr>
          <w:rFonts w:asciiTheme="majorHAnsi" w:eastAsiaTheme="minorHAnsi" w:hAnsiTheme="majorHAnsi" w:cs="Calibri"/>
          <w:sz w:val="22"/>
          <w:szCs w:val="22"/>
          <w:lang w:val="en-GB" w:eastAsia="en-US"/>
        </w:rPr>
        <w:t>The Pro</w:t>
      </w:r>
      <w:r w:rsidR="00612C9C" w:rsidRPr="001D2FAE">
        <w:rPr>
          <w:rFonts w:asciiTheme="majorHAnsi" w:eastAsiaTheme="minorHAnsi" w:hAnsiTheme="majorHAnsi" w:cs="Calibri"/>
          <w:sz w:val="22"/>
          <w:szCs w:val="22"/>
          <w:lang w:val="en-GB" w:eastAsia="en-US"/>
        </w:rPr>
        <w:t>ject is</w:t>
      </w:r>
      <w:r w:rsidRPr="001D2FAE">
        <w:rPr>
          <w:rFonts w:asciiTheme="majorHAnsi" w:eastAsiaTheme="minorHAnsi" w:hAnsiTheme="majorHAnsi" w:cs="Calibri"/>
          <w:sz w:val="22"/>
          <w:szCs w:val="22"/>
          <w:lang w:val="en-GB" w:eastAsia="en-US"/>
        </w:rPr>
        <w:t xml:space="preserve"> led by GOAL </w:t>
      </w:r>
      <w:r w:rsidR="00612C9C" w:rsidRPr="001D2FAE">
        <w:rPr>
          <w:rFonts w:asciiTheme="majorHAnsi" w:eastAsiaTheme="minorHAnsi" w:hAnsiTheme="majorHAnsi" w:cs="Calibri"/>
          <w:sz w:val="22"/>
          <w:szCs w:val="22"/>
          <w:lang w:val="en-GB" w:eastAsia="en-US"/>
        </w:rPr>
        <w:t>and includes</w:t>
      </w:r>
      <w:r w:rsidRPr="001D2FAE">
        <w:rPr>
          <w:rFonts w:asciiTheme="majorHAnsi" w:eastAsiaTheme="minorHAnsi" w:hAnsiTheme="majorHAnsi" w:cs="Calibri"/>
          <w:sz w:val="22"/>
          <w:szCs w:val="22"/>
          <w:lang w:val="en-GB" w:eastAsia="en-US"/>
        </w:rPr>
        <w:t xml:space="preserve"> Mercy Corps, CAFOD, and VSF </w:t>
      </w:r>
      <w:r w:rsidR="00612C9C" w:rsidRPr="001D2FAE">
        <w:rPr>
          <w:rFonts w:asciiTheme="majorHAnsi" w:eastAsiaTheme="minorHAnsi" w:hAnsiTheme="majorHAnsi" w:cs="Calibri"/>
          <w:sz w:val="22"/>
          <w:szCs w:val="22"/>
          <w:lang w:val="en-GB" w:eastAsia="en-US"/>
        </w:rPr>
        <w:t>Suisse</w:t>
      </w:r>
      <w:r w:rsidRPr="001D2FAE">
        <w:rPr>
          <w:rFonts w:asciiTheme="majorHAnsi" w:eastAsiaTheme="minorHAnsi" w:hAnsiTheme="majorHAnsi" w:cs="Calibri"/>
          <w:sz w:val="22"/>
          <w:szCs w:val="22"/>
          <w:lang w:val="en-GB" w:eastAsia="en-US"/>
        </w:rPr>
        <w:t xml:space="preserve">, and local implementing partners. Combining market systems development with locally led participatory approaches, THRIVE offers a unique solution to address the root causes of systemic challenges within target pastoral and agro-pastoral value chains, creating long-term, sustainable improvements in household resilience. THRIVE’s strategy is anchored around four integrated approaches: Market Systems Development (MSD); Localized &amp; Community-Led Approaches; Gender Equality &amp; Social Inclusion; and Social &amp; </w:t>
      </w:r>
      <w:r w:rsidR="00330458" w:rsidRPr="001D2FAE">
        <w:rPr>
          <w:rFonts w:asciiTheme="majorHAnsi" w:eastAsiaTheme="minorHAnsi" w:hAnsiTheme="majorHAnsi" w:cs="Calibri"/>
          <w:sz w:val="22"/>
          <w:szCs w:val="22"/>
          <w:lang w:val="en-GB" w:eastAsia="en-US"/>
        </w:rPr>
        <w:t>Behaviour</w:t>
      </w:r>
      <w:r w:rsidRPr="001D2FAE">
        <w:rPr>
          <w:rFonts w:asciiTheme="majorHAnsi" w:eastAsiaTheme="minorHAnsi" w:hAnsiTheme="majorHAnsi" w:cs="Calibri"/>
          <w:sz w:val="22"/>
          <w:szCs w:val="22"/>
          <w:lang w:val="en-GB" w:eastAsia="en-US"/>
        </w:rPr>
        <w:t xml:space="preserve"> Change. GOAL will leverage existing partnerships and digital technology to deliver crisis-related modifications to critical agricultural functions, including input/output systems, financial services, and skills training, enabling communities to adapt to and recover from the effects of climate shock and protect livelihoods.</w:t>
      </w:r>
      <w:bookmarkStart w:id="3" w:name="_Toc232423942"/>
    </w:p>
    <w:bookmarkEnd w:id="3"/>
    <w:p w14:paraId="5E165446" w14:textId="16A7C066" w:rsidR="004D7B00" w:rsidRPr="00957679" w:rsidRDefault="00FD07CD" w:rsidP="00957679">
      <w:pPr>
        <w:pStyle w:val="NoSpacing"/>
        <w:spacing w:before="0" w:line="276" w:lineRule="auto"/>
        <w:jc w:val="both"/>
        <w:rPr>
          <w:rFonts w:eastAsiaTheme="minorHAnsi" w:cstheme="minorHAnsi"/>
          <w:b/>
          <w:color w:val="087838"/>
          <w:sz w:val="26"/>
          <w:szCs w:val="26"/>
        </w:rPr>
      </w:pPr>
      <w:r w:rsidRPr="00957679">
        <w:rPr>
          <w:rFonts w:eastAsiaTheme="minorHAnsi" w:cstheme="minorHAnsi"/>
          <w:b/>
          <w:color w:val="087838"/>
          <w:sz w:val="26"/>
          <w:szCs w:val="26"/>
        </w:rPr>
        <w:t>Purpose of the Consultancy</w:t>
      </w:r>
    </w:p>
    <w:p w14:paraId="1CF9761F" w14:textId="77777777" w:rsidR="00FD07CD" w:rsidRPr="001D2FAE" w:rsidRDefault="00FD07CD" w:rsidP="001D2FAE">
      <w:pPr>
        <w:pStyle w:val="NoSpacing"/>
        <w:spacing w:line="276" w:lineRule="auto"/>
        <w:jc w:val="both"/>
        <w:rPr>
          <w:rFonts w:asciiTheme="majorHAnsi" w:hAnsiTheme="majorHAnsi" w:cs="Calibri"/>
          <w:sz w:val="22"/>
          <w:szCs w:val="22"/>
        </w:rPr>
      </w:pPr>
      <w:bookmarkStart w:id="4" w:name="_Toc232423943"/>
      <w:r w:rsidRPr="001D2FAE">
        <w:rPr>
          <w:rFonts w:ascii="Calibri" w:hAnsi="Calibri" w:cs="Calibri"/>
          <w:sz w:val="22"/>
          <w:szCs w:val="22"/>
        </w:rPr>
        <w:t>Under Output 1 of the THRIVE Project</w:t>
      </w:r>
      <w:r w:rsidRPr="001D2FAE">
        <w:rPr>
          <w:rFonts w:asciiTheme="majorHAnsi" w:hAnsiTheme="majorHAnsi" w:cs="Calibri"/>
          <w:sz w:val="22"/>
          <w:szCs w:val="22"/>
        </w:rPr>
        <w:t>, which focuses on expanding access to inclusive and appropriate financial services for approximately 120,000 individuals engaged in Village Savings and Loans Associations (VSLAs) and key market systems—including fisheries, livestock, and non-timber forest products—GOAL is working to strengthen financial inclusion in underserved and fragile contexts across South Sudan.</w:t>
      </w:r>
    </w:p>
    <w:p w14:paraId="29353684" w14:textId="5EF91EC2" w:rsidR="00FD07CD" w:rsidRPr="001D2FAE" w:rsidRDefault="00FD07CD" w:rsidP="001D2FAE">
      <w:pPr>
        <w:pStyle w:val="NormalWeb"/>
        <w:spacing w:beforeAutospacing="0" w:line="300" w:lineRule="atLeast"/>
        <w:rPr>
          <w:rFonts w:asciiTheme="majorHAnsi" w:hAnsiTheme="majorHAnsi" w:cs="Calibri"/>
          <w:sz w:val="22"/>
          <w:szCs w:val="22"/>
        </w:rPr>
      </w:pPr>
      <w:r w:rsidRPr="001D2FAE">
        <w:rPr>
          <w:rFonts w:asciiTheme="majorHAnsi" w:hAnsiTheme="majorHAnsi" w:cs="Calibri"/>
          <w:sz w:val="22"/>
          <w:szCs w:val="22"/>
        </w:rPr>
        <w:t xml:space="preserve">Recognizing the limited reach of formal financial services, low levels of financial literacy, and the increasing role of digital financial solutions, the project is exploring strategic partnerships with financial institutions and mobile network operators. </w:t>
      </w:r>
      <w:r w:rsidR="001D2FAE" w:rsidRPr="001D2FAE">
        <w:rPr>
          <w:rFonts w:asciiTheme="majorHAnsi" w:hAnsiTheme="majorHAnsi" w:cs="Calibri"/>
          <w:sz w:val="22"/>
          <w:szCs w:val="22"/>
        </w:rPr>
        <w:t>GOAL</w:t>
      </w:r>
      <w:r w:rsidRPr="001D2FAE">
        <w:rPr>
          <w:rFonts w:asciiTheme="majorHAnsi" w:hAnsiTheme="majorHAnsi" w:cs="Calibri"/>
          <w:sz w:val="22"/>
          <w:szCs w:val="22"/>
        </w:rPr>
        <w:t xml:space="preserve"> is considering engagement with the </w:t>
      </w:r>
      <w:r w:rsidRPr="001D2FAE">
        <w:rPr>
          <w:rStyle w:val="Strong"/>
          <w:rFonts w:asciiTheme="majorHAnsi" w:hAnsiTheme="majorHAnsi" w:cs="Calibri"/>
          <w:sz w:val="22"/>
          <w:szCs w:val="22"/>
        </w:rPr>
        <w:lastRenderedPageBreak/>
        <w:t>Cooperative Bank of South Sudan, Alpha Commercial Bank</w:t>
      </w:r>
      <w:r w:rsidRPr="001D2FAE">
        <w:rPr>
          <w:rFonts w:asciiTheme="majorHAnsi" w:hAnsiTheme="majorHAnsi" w:cs="Calibri"/>
          <w:sz w:val="22"/>
          <w:szCs w:val="22"/>
        </w:rPr>
        <w:t xml:space="preserve">, and </w:t>
      </w:r>
      <w:r w:rsidRPr="001D2FAE">
        <w:rPr>
          <w:rStyle w:val="Strong"/>
          <w:rFonts w:asciiTheme="majorHAnsi" w:hAnsiTheme="majorHAnsi" w:cs="Calibri"/>
          <w:sz w:val="22"/>
          <w:szCs w:val="22"/>
        </w:rPr>
        <w:t>MTN South Sudan</w:t>
      </w:r>
      <w:r w:rsidRPr="001D2FAE">
        <w:rPr>
          <w:rFonts w:asciiTheme="majorHAnsi" w:hAnsiTheme="majorHAnsi" w:cs="Calibri"/>
          <w:sz w:val="22"/>
          <w:szCs w:val="22"/>
        </w:rPr>
        <w:t xml:space="preserve"> to enhance access to savings, credit, and mobile-based financial services for VSLA members and market actors.</w:t>
      </w:r>
    </w:p>
    <w:p w14:paraId="797922B7" w14:textId="77777777" w:rsidR="00FD07CD" w:rsidRPr="001D2FAE" w:rsidRDefault="00FD07CD" w:rsidP="001D2FAE">
      <w:pPr>
        <w:pStyle w:val="NormalWeb"/>
        <w:spacing w:beforeAutospacing="0" w:line="300" w:lineRule="atLeast"/>
        <w:rPr>
          <w:rFonts w:asciiTheme="majorHAnsi" w:hAnsiTheme="majorHAnsi" w:cs="Calibri"/>
          <w:sz w:val="22"/>
          <w:szCs w:val="22"/>
        </w:rPr>
      </w:pPr>
      <w:r w:rsidRPr="001D2FAE">
        <w:rPr>
          <w:rFonts w:asciiTheme="majorHAnsi" w:hAnsiTheme="majorHAnsi" w:cs="Calibri"/>
          <w:sz w:val="22"/>
          <w:szCs w:val="22"/>
        </w:rPr>
        <w:t xml:space="preserve">To inform these engagements, GOAL seeks to engage an individual consultant or firm to conduct an </w:t>
      </w:r>
      <w:r w:rsidRPr="001D2FAE">
        <w:rPr>
          <w:rStyle w:val="Strong"/>
          <w:rFonts w:asciiTheme="majorHAnsi" w:hAnsiTheme="majorHAnsi" w:cs="Calibri"/>
          <w:b w:val="0"/>
          <w:bCs w:val="0"/>
          <w:sz w:val="22"/>
          <w:szCs w:val="22"/>
        </w:rPr>
        <w:t>ethical due diligence assessment</w:t>
      </w:r>
      <w:r w:rsidRPr="001D2FAE">
        <w:rPr>
          <w:rFonts w:asciiTheme="majorHAnsi" w:hAnsiTheme="majorHAnsi" w:cs="Calibri"/>
          <w:sz w:val="22"/>
          <w:szCs w:val="22"/>
        </w:rPr>
        <w:t xml:space="preserve"> of the selected institutions. The purpose of this consultancy is to evaluate the suitability, institutional capacity, and strategic alignment of these entities to support THRIVE’s financial inclusion objectives, and to provide a robust analysis of the potential opportunities, risks, and operational considerations associated with partnership.</w:t>
      </w:r>
    </w:p>
    <w:p w14:paraId="3735D299" w14:textId="77777777" w:rsidR="00FD07CD" w:rsidRPr="001D2FAE" w:rsidRDefault="00FD07CD" w:rsidP="001D2FAE">
      <w:pPr>
        <w:pStyle w:val="NormalWeb"/>
        <w:spacing w:beforeAutospacing="0" w:line="300" w:lineRule="atLeast"/>
        <w:rPr>
          <w:rFonts w:asciiTheme="majorHAnsi" w:hAnsiTheme="majorHAnsi" w:cs="Calibri"/>
          <w:sz w:val="22"/>
          <w:szCs w:val="22"/>
        </w:rPr>
      </w:pPr>
      <w:r w:rsidRPr="001D2FAE">
        <w:rPr>
          <w:rFonts w:asciiTheme="majorHAnsi" w:hAnsiTheme="majorHAnsi" w:cs="Calibri"/>
          <w:sz w:val="22"/>
          <w:szCs w:val="22"/>
        </w:rPr>
        <w:t xml:space="preserve">The assessment will examine the ability of the targeted institutions to deliver </w:t>
      </w:r>
      <w:r w:rsidRPr="001D2FAE">
        <w:rPr>
          <w:rStyle w:val="Strong"/>
          <w:rFonts w:asciiTheme="majorHAnsi" w:hAnsiTheme="majorHAnsi" w:cs="Calibri"/>
          <w:b w:val="0"/>
          <w:bCs w:val="0"/>
          <w:sz w:val="22"/>
          <w:szCs w:val="22"/>
        </w:rPr>
        <w:t>accessible, affordable, and context-appropriate financial and digital financial services</w:t>
      </w:r>
      <w:r w:rsidRPr="001D2FAE">
        <w:rPr>
          <w:rFonts w:asciiTheme="majorHAnsi" w:hAnsiTheme="majorHAnsi" w:cs="Calibri"/>
          <w:b/>
          <w:bCs/>
          <w:sz w:val="22"/>
          <w:szCs w:val="22"/>
        </w:rPr>
        <w:t>,</w:t>
      </w:r>
      <w:r w:rsidRPr="001D2FAE">
        <w:rPr>
          <w:rFonts w:asciiTheme="majorHAnsi" w:hAnsiTheme="majorHAnsi" w:cs="Calibri"/>
          <w:sz w:val="22"/>
          <w:szCs w:val="22"/>
        </w:rPr>
        <w:t xml:space="preserve"> particularly to rural and underserved populations engaged in VSLAs and priority market systems. This includes evaluating existing financial products, mobile money platforms, agent networks, geographic outreach, and the capacity to operate effectively in fragile and low-infrastructure environments.</w:t>
      </w:r>
    </w:p>
    <w:p w14:paraId="26DD04D6" w14:textId="13A6C1BE" w:rsidR="00FD07CD" w:rsidRPr="001D2FAE" w:rsidRDefault="00FD07CD" w:rsidP="001D2FAE">
      <w:pPr>
        <w:pStyle w:val="NormalWeb"/>
        <w:spacing w:beforeAutospacing="0" w:line="300" w:lineRule="atLeast"/>
        <w:rPr>
          <w:rFonts w:asciiTheme="majorHAnsi" w:hAnsiTheme="majorHAnsi" w:cs="Calibri"/>
          <w:sz w:val="22"/>
          <w:szCs w:val="22"/>
        </w:rPr>
      </w:pPr>
      <w:r w:rsidRPr="001D2FAE">
        <w:rPr>
          <w:rFonts w:asciiTheme="majorHAnsi" w:hAnsiTheme="majorHAnsi" w:cs="Calibri"/>
          <w:sz w:val="22"/>
          <w:szCs w:val="22"/>
        </w:rPr>
        <w:t xml:space="preserve">In addition, the due diligence will assess institutional governance, financial health, compliance with regulatory and ethical standards, and exposure to operational, fiduciary, and reputational risks. </w:t>
      </w:r>
      <w:r w:rsidR="001D2FAE" w:rsidRPr="001D2FAE">
        <w:rPr>
          <w:rFonts w:asciiTheme="majorHAnsi" w:hAnsiTheme="majorHAnsi" w:cs="Calibri"/>
          <w:sz w:val="22"/>
          <w:szCs w:val="22"/>
        </w:rPr>
        <w:t>Attention</w:t>
      </w:r>
      <w:r w:rsidRPr="001D2FAE">
        <w:rPr>
          <w:rFonts w:asciiTheme="majorHAnsi" w:hAnsiTheme="majorHAnsi" w:cs="Calibri"/>
          <w:sz w:val="22"/>
          <w:szCs w:val="22"/>
        </w:rPr>
        <w:t xml:space="preserve"> will be given to the role of </w:t>
      </w:r>
      <w:r w:rsidRPr="007A136C">
        <w:rPr>
          <w:rStyle w:val="Strong"/>
          <w:rFonts w:asciiTheme="majorHAnsi" w:hAnsiTheme="majorHAnsi" w:cs="Calibri"/>
          <w:b w:val="0"/>
          <w:bCs w:val="0"/>
          <w:sz w:val="22"/>
          <w:szCs w:val="22"/>
        </w:rPr>
        <w:t>mobile money and digital financial services (through MTN</w:t>
      </w:r>
      <w:r w:rsidRPr="001D2FAE">
        <w:rPr>
          <w:rStyle w:val="Strong"/>
          <w:rFonts w:asciiTheme="majorHAnsi" w:hAnsiTheme="majorHAnsi" w:cs="Calibri"/>
          <w:sz w:val="22"/>
          <w:szCs w:val="22"/>
        </w:rPr>
        <w:t>)</w:t>
      </w:r>
      <w:r w:rsidRPr="001D2FAE">
        <w:rPr>
          <w:rFonts w:asciiTheme="majorHAnsi" w:hAnsiTheme="majorHAnsi" w:cs="Calibri"/>
          <w:sz w:val="22"/>
          <w:szCs w:val="22"/>
        </w:rPr>
        <w:t xml:space="preserve"> in enhancing last-mile access, as well as opportunities to link informal savings groups (VSLAs) to formal financial systems.</w:t>
      </w:r>
    </w:p>
    <w:p w14:paraId="7EA7F962" w14:textId="4FA102BA" w:rsidR="00FD07CD" w:rsidRPr="001D2FAE" w:rsidRDefault="00FD07CD" w:rsidP="001D2FAE">
      <w:pPr>
        <w:pStyle w:val="NormalWeb"/>
        <w:spacing w:beforeAutospacing="0" w:line="300" w:lineRule="atLeast"/>
        <w:rPr>
          <w:rFonts w:asciiTheme="majorHAnsi" w:hAnsiTheme="majorHAnsi" w:cs="Calibri"/>
          <w:sz w:val="22"/>
          <w:szCs w:val="22"/>
        </w:rPr>
      </w:pPr>
      <w:r w:rsidRPr="001D2FAE">
        <w:rPr>
          <w:rFonts w:asciiTheme="majorHAnsi" w:hAnsiTheme="majorHAnsi" w:cs="Calibri"/>
          <w:sz w:val="22"/>
          <w:szCs w:val="22"/>
        </w:rPr>
        <w:t xml:space="preserve">The findings of this consultancy will guide GOAL’s partnership strategy under THRIVE, ensuring that collaboration with the Cooperative Bank of South Sudan, Alpha Commercial Bank, and MTN is </w:t>
      </w:r>
      <w:r w:rsidRPr="007A136C">
        <w:rPr>
          <w:rStyle w:val="Strong"/>
          <w:rFonts w:asciiTheme="majorHAnsi" w:hAnsiTheme="majorHAnsi" w:cs="Calibri"/>
          <w:b w:val="0"/>
          <w:bCs w:val="0"/>
          <w:sz w:val="22"/>
          <w:szCs w:val="22"/>
        </w:rPr>
        <w:t>strategically sound, risk-informed, and capable of delivering scalable, inclusive, and sustainable financial services</w:t>
      </w:r>
      <w:r w:rsidRPr="001D2FAE">
        <w:rPr>
          <w:rFonts w:asciiTheme="majorHAnsi" w:hAnsiTheme="majorHAnsi" w:cs="Calibri"/>
          <w:sz w:val="22"/>
          <w:szCs w:val="22"/>
        </w:rPr>
        <w:t xml:space="preserve"> to target populations across fisheries, livestock, and non-timber forest product value chains.</w:t>
      </w:r>
    </w:p>
    <w:p w14:paraId="4693633D" w14:textId="3C8CBFD4" w:rsidR="004D7B00" w:rsidRPr="00957679" w:rsidRDefault="0078657A" w:rsidP="00957679">
      <w:pPr>
        <w:pStyle w:val="NoSpacing"/>
        <w:spacing w:before="0" w:line="276" w:lineRule="auto"/>
        <w:jc w:val="both"/>
        <w:rPr>
          <w:rFonts w:eastAsiaTheme="minorHAnsi" w:cstheme="minorHAnsi"/>
          <w:b/>
          <w:color w:val="087838"/>
          <w:sz w:val="26"/>
          <w:szCs w:val="26"/>
        </w:rPr>
      </w:pPr>
      <w:r w:rsidRPr="00957679">
        <w:rPr>
          <w:rFonts w:eastAsiaTheme="minorHAnsi" w:cstheme="minorHAnsi"/>
          <w:b/>
          <w:color w:val="087838"/>
          <w:sz w:val="26"/>
          <w:szCs w:val="26"/>
        </w:rPr>
        <w:t>Sc</w:t>
      </w:r>
      <w:r w:rsidR="004D7B00" w:rsidRPr="00957679">
        <w:rPr>
          <w:rFonts w:eastAsiaTheme="minorHAnsi" w:cstheme="minorHAnsi"/>
          <w:b/>
          <w:color w:val="087838"/>
          <w:sz w:val="26"/>
          <w:szCs w:val="26"/>
        </w:rPr>
        <w:t>ope of Work</w:t>
      </w:r>
      <w:bookmarkEnd w:id="4"/>
    </w:p>
    <w:p w14:paraId="7743A567" w14:textId="77777777" w:rsidR="00FD07CD" w:rsidRPr="007A136C" w:rsidRDefault="00FD07CD" w:rsidP="001D2FAE">
      <w:pPr>
        <w:pStyle w:val="NoSpacing"/>
        <w:spacing w:before="0" w:line="276" w:lineRule="auto"/>
        <w:jc w:val="both"/>
        <w:rPr>
          <w:rFonts w:asciiTheme="majorHAnsi" w:hAnsiTheme="majorHAnsi" w:cs="Calibri"/>
          <w:sz w:val="22"/>
          <w:szCs w:val="22"/>
        </w:rPr>
      </w:pPr>
      <w:r w:rsidRPr="007A136C">
        <w:rPr>
          <w:rFonts w:asciiTheme="majorHAnsi" w:hAnsiTheme="majorHAnsi" w:cs="Calibri"/>
          <w:sz w:val="22"/>
          <w:szCs w:val="22"/>
        </w:rPr>
        <w:t xml:space="preserve">GOAL seeks to procure the services of a qualified consultant or consulting firm to conduct an </w:t>
      </w:r>
      <w:r w:rsidRPr="007A136C">
        <w:rPr>
          <w:rStyle w:val="Strong"/>
          <w:rFonts w:asciiTheme="majorHAnsi" w:hAnsiTheme="majorHAnsi" w:cs="Calibri"/>
          <w:sz w:val="22"/>
          <w:szCs w:val="22"/>
        </w:rPr>
        <w:t>ethical due diligence assessment</w:t>
      </w:r>
      <w:r w:rsidRPr="007A136C">
        <w:rPr>
          <w:rFonts w:asciiTheme="majorHAnsi" w:hAnsiTheme="majorHAnsi" w:cs="Calibri"/>
          <w:sz w:val="22"/>
          <w:szCs w:val="22"/>
        </w:rPr>
        <w:t xml:space="preserve"> of selected financial institutions and a mobile network operator under the THRIVE Project in South Sudan. The institutions to be assessed include the </w:t>
      </w:r>
      <w:r w:rsidRPr="007A136C">
        <w:rPr>
          <w:rStyle w:val="Strong"/>
          <w:rFonts w:asciiTheme="majorHAnsi" w:hAnsiTheme="majorHAnsi" w:cs="Calibri"/>
          <w:sz w:val="22"/>
          <w:szCs w:val="22"/>
        </w:rPr>
        <w:t>Cooperative Bank of South Sudan, Alpha Commercial Bank</w:t>
      </w:r>
      <w:r w:rsidRPr="007A136C">
        <w:rPr>
          <w:rFonts w:asciiTheme="majorHAnsi" w:hAnsiTheme="majorHAnsi" w:cs="Calibri"/>
          <w:sz w:val="22"/>
          <w:szCs w:val="22"/>
        </w:rPr>
        <w:t xml:space="preserve">, and </w:t>
      </w:r>
      <w:r w:rsidRPr="007A136C">
        <w:rPr>
          <w:rStyle w:val="Strong"/>
          <w:rFonts w:asciiTheme="majorHAnsi" w:hAnsiTheme="majorHAnsi" w:cs="Calibri"/>
          <w:sz w:val="22"/>
          <w:szCs w:val="22"/>
        </w:rPr>
        <w:t>MTN South Sudan</w:t>
      </w:r>
      <w:r w:rsidRPr="007A136C">
        <w:rPr>
          <w:rFonts w:asciiTheme="majorHAnsi" w:hAnsiTheme="majorHAnsi" w:cs="Calibri"/>
          <w:sz w:val="22"/>
          <w:szCs w:val="22"/>
        </w:rPr>
        <w:t>, with a focus on their suitability to support expanded access to inclusive financial and digital financial services for VSLA members and actors in fisheries, livestock, and non-timber forest product market systems.</w:t>
      </w:r>
    </w:p>
    <w:p w14:paraId="792D4CE9" w14:textId="77777777" w:rsidR="00FD07CD" w:rsidRPr="007A136C" w:rsidRDefault="00FD07CD" w:rsidP="00FD07CD">
      <w:pPr>
        <w:pStyle w:val="NormalWeb"/>
        <w:spacing w:line="300" w:lineRule="atLeast"/>
        <w:rPr>
          <w:rFonts w:asciiTheme="majorHAnsi" w:hAnsiTheme="majorHAnsi" w:cs="Calibri"/>
          <w:sz w:val="22"/>
          <w:szCs w:val="22"/>
        </w:rPr>
      </w:pPr>
      <w:r w:rsidRPr="007A136C">
        <w:rPr>
          <w:rFonts w:asciiTheme="majorHAnsi" w:hAnsiTheme="majorHAnsi" w:cs="Calibri"/>
          <w:sz w:val="22"/>
          <w:szCs w:val="22"/>
        </w:rPr>
        <w:t>The due diligence will assess institutional practices against key ethical, environmental, social, and governance (ESG) criteria to ensure alignment with GOAL’s organizational values and THRIVE’s objectives.</w:t>
      </w:r>
    </w:p>
    <w:p w14:paraId="1F52FF7E" w14:textId="0F1A83C0" w:rsidR="004D7B00" w:rsidRPr="007A136C" w:rsidRDefault="00FD07CD" w:rsidP="00FD07CD">
      <w:pPr>
        <w:pStyle w:val="NormalWeb"/>
        <w:spacing w:line="300" w:lineRule="atLeast"/>
        <w:rPr>
          <w:rFonts w:asciiTheme="majorHAnsi" w:hAnsiTheme="majorHAnsi" w:cs="Calibri"/>
          <w:sz w:val="22"/>
          <w:szCs w:val="22"/>
        </w:rPr>
      </w:pPr>
      <w:r w:rsidRPr="007A136C">
        <w:rPr>
          <w:rFonts w:asciiTheme="majorHAnsi" w:hAnsiTheme="majorHAnsi" w:cs="Calibri"/>
          <w:sz w:val="22"/>
          <w:szCs w:val="22"/>
        </w:rPr>
        <w:t>The consultant/firm will review the following key areas</w:t>
      </w:r>
      <w:r w:rsidR="004D7B00" w:rsidRPr="007A136C">
        <w:rPr>
          <w:rFonts w:asciiTheme="majorHAnsi" w:eastAsiaTheme="minorHAnsi" w:hAnsiTheme="majorHAnsi" w:cs="Calibri"/>
          <w:sz w:val="22"/>
          <w:szCs w:val="22"/>
          <w:lang w:val="en-GB" w:eastAsia="en-US"/>
        </w:rPr>
        <w:t>:</w:t>
      </w:r>
    </w:p>
    <w:tbl>
      <w:tblPr>
        <w:tblStyle w:val="TableGrid"/>
        <w:tblW w:w="9351" w:type="dxa"/>
        <w:tblLook w:val="04A0" w:firstRow="1" w:lastRow="0" w:firstColumn="1" w:lastColumn="0" w:noHBand="0" w:noVBand="1"/>
      </w:tblPr>
      <w:tblGrid>
        <w:gridCol w:w="1663"/>
        <w:gridCol w:w="7688"/>
      </w:tblGrid>
      <w:tr w:rsidR="004D7B00" w:rsidRPr="007A136C" w14:paraId="7EEFE0FC" w14:textId="77777777" w:rsidTr="00957679">
        <w:tc>
          <w:tcPr>
            <w:tcW w:w="1663" w:type="dxa"/>
            <w:shd w:val="clear" w:color="auto" w:fill="196B24" w:themeFill="accent3"/>
          </w:tcPr>
          <w:p w14:paraId="4E204091" w14:textId="77777777" w:rsidR="004D7B00" w:rsidRPr="007A136C" w:rsidRDefault="004D7B00" w:rsidP="00A137F1">
            <w:pPr>
              <w:jc w:val="both"/>
              <w:rPr>
                <w:rFonts w:asciiTheme="majorHAnsi" w:hAnsiTheme="majorHAnsi" w:cs="Calibri"/>
                <w:b/>
                <w:bCs/>
                <w:color w:val="FFFFFF" w:themeColor="background1"/>
                <w:sz w:val="20"/>
                <w:szCs w:val="20"/>
              </w:rPr>
            </w:pPr>
            <w:r w:rsidRPr="007A136C">
              <w:rPr>
                <w:rFonts w:asciiTheme="majorHAnsi" w:hAnsiTheme="majorHAnsi" w:cs="Calibri"/>
                <w:b/>
                <w:bCs/>
                <w:color w:val="FFFFFF" w:themeColor="background1"/>
                <w:sz w:val="20"/>
                <w:szCs w:val="20"/>
              </w:rPr>
              <w:t xml:space="preserve">Key area </w:t>
            </w:r>
          </w:p>
        </w:tc>
        <w:tc>
          <w:tcPr>
            <w:tcW w:w="7688" w:type="dxa"/>
            <w:shd w:val="clear" w:color="auto" w:fill="196B24" w:themeFill="accent3"/>
          </w:tcPr>
          <w:p w14:paraId="4659D291" w14:textId="77777777" w:rsidR="004D7B00" w:rsidRPr="007A136C" w:rsidRDefault="004D7B00" w:rsidP="00A137F1">
            <w:pPr>
              <w:jc w:val="both"/>
              <w:rPr>
                <w:rFonts w:asciiTheme="majorHAnsi" w:hAnsiTheme="majorHAnsi" w:cs="Calibri"/>
                <w:b/>
                <w:bCs/>
                <w:color w:val="FFFFFF" w:themeColor="background1"/>
                <w:sz w:val="20"/>
                <w:szCs w:val="20"/>
              </w:rPr>
            </w:pPr>
            <w:r w:rsidRPr="007A136C">
              <w:rPr>
                <w:rFonts w:asciiTheme="majorHAnsi" w:hAnsiTheme="majorHAnsi" w:cs="Calibri"/>
                <w:b/>
                <w:bCs/>
                <w:color w:val="FFFFFF" w:themeColor="background1"/>
                <w:sz w:val="20"/>
                <w:szCs w:val="20"/>
              </w:rPr>
              <w:t>Ethical due diligence check</w:t>
            </w:r>
          </w:p>
        </w:tc>
      </w:tr>
      <w:tr w:rsidR="004D7B00" w:rsidRPr="007A136C" w14:paraId="3A58EABE" w14:textId="77777777" w:rsidTr="00957679">
        <w:tc>
          <w:tcPr>
            <w:tcW w:w="1663" w:type="dxa"/>
            <w:shd w:val="clear" w:color="auto" w:fill="FFFFFF" w:themeFill="background1"/>
          </w:tcPr>
          <w:p w14:paraId="53971B5B" w14:textId="77C731B4" w:rsidR="004D7B00" w:rsidRPr="007A136C" w:rsidRDefault="004D7B00" w:rsidP="00A137F1">
            <w:pPr>
              <w:jc w:val="both"/>
              <w:rPr>
                <w:rFonts w:asciiTheme="majorHAnsi" w:hAnsiTheme="majorHAnsi" w:cs="Calibri"/>
                <w:sz w:val="20"/>
                <w:szCs w:val="20"/>
              </w:rPr>
            </w:pPr>
            <w:r w:rsidRPr="007A136C">
              <w:rPr>
                <w:rFonts w:asciiTheme="majorHAnsi" w:hAnsiTheme="majorHAnsi" w:cs="Calibri"/>
                <w:sz w:val="20"/>
                <w:szCs w:val="20"/>
              </w:rPr>
              <w:t>Transparency</w:t>
            </w:r>
            <w:r w:rsidR="00FD07CD" w:rsidRPr="007A136C">
              <w:rPr>
                <w:rFonts w:asciiTheme="majorHAnsi" w:hAnsiTheme="majorHAnsi" w:cs="Calibri"/>
                <w:sz w:val="20"/>
                <w:szCs w:val="20"/>
              </w:rPr>
              <w:t xml:space="preserve"> and Governance</w:t>
            </w:r>
          </w:p>
        </w:tc>
        <w:tc>
          <w:tcPr>
            <w:tcW w:w="7688" w:type="dxa"/>
            <w:shd w:val="clear" w:color="auto" w:fill="FFFFFF" w:themeFill="background1"/>
          </w:tcPr>
          <w:p w14:paraId="7FDB4222" w14:textId="77777777" w:rsidR="00FD07CD" w:rsidRPr="007A136C" w:rsidRDefault="00FD07CD" w:rsidP="00FD07CD">
            <w:pPr>
              <w:pStyle w:val="ListParagraph"/>
              <w:numPr>
                <w:ilvl w:val="0"/>
                <w:numId w:val="9"/>
              </w:numPr>
              <w:jc w:val="both"/>
              <w:rPr>
                <w:rFonts w:asciiTheme="majorHAnsi" w:hAnsiTheme="majorHAnsi" w:cs="Calibri"/>
                <w:sz w:val="20"/>
                <w:szCs w:val="20"/>
              </w:rPr>
            </w:pPr>
            <w:r w:rsidRPr="007A136C">
              <w:rPr>
                <w:rFonts w:asciiTheme="majorHAnsi" w:hAnsiTheme="majorHAnsi" w:cs="Calibri"/>
                <w:sz w:val="20"/>
                <w:szCs w:val="20"/>
              </w:rPr>
              <w:t>Assess the level of institutional transparency, including disclosure practices, governance structures, and accountability mechanisms.</w:t>
            </w:r>
          </w:p>
          <w:p w14:paraId="36CC9417" w14:textId="77777777" w:rsidR="00FD07CD" w:rsidRPr="007A136C" w:rsidRDefault="00FD07CD" w:rsidP="00FD07CD">
            <w:pPr>
              <w:pStyle w:val="ListParagraph"/>
              <w:numPr>
                <w:ilvl w:val="0"/>
                <w:numId w:val="9"/>
              </w:numPr>
              <w:jc w:val="both"/>
              <w:rPr>
                <w:rFonts w:asciiTheme="majorHAnsi" w:hAnsiTheme="majorHAnsi" w:cs="Calibri"/>
                <w:sz w:val="20"/>
                <w:szCs w:val="20"/>
              </w:rPr>
            </w:pPr>
            <w:r w:rsidRPr="007A136C">
              <w:rPr>
                <w:rFonts w:asciiTheme="majorHAnsi" w:hAnsiTheme="majorHAnsi" w:cs="Calibri"/>
                <w:sz w:val="20"/>
                <w:szCs w:val="20"/>
              </w:rPr>
              <w:t xml:space="preserve">Review ownership structures, shareholder practices, and any available records of engagement or influence in affiliated companies or investments. </w:t>
            </w:r>
          </w:p>
          <w:p w14:paraId="2AA6CB44" w14:textId="77777777" w:rsidR="00FD07CD" w:rsidRPr="007A136C" w:rsidRDefault="00FD07CD" w:rsidP="00FD07CD">
            <w:pPr>
              <w:pStyle w:val="ListParagraph"/>
              <w:numPr>
                <w:ilvl w:val="0"/>
                <w:numId w:val="9"/>
              </w:numPr>
              <w:jc w:val="both"/>
              <w:rPr>
                <w:rFonts w:asciiTheme="majorHAnsi" w:hAnsiTheme="majorHAnsi" w:cs="Calibri"/>
                <w:sz w:val="20"/>
                <w:szCs w:val="20"/>
              </w:rPr>
            </w:pPr>
            <w:r w:rsidRPr="007A136C">
              <w:rPr>
                <w:rFonts w:asciiTheme="majorHAnsi" w:hAnsiTheme="majorHAnsi" w:cs="Calibri"/>
                <w:sz w:val="20"/>
                <w:szCs w:val="20"/>
              </w:rPr>
              <w:lastRenderedPageBreak/>
              <w:t>Evaluate internal policies related to compliance, anti-corruption, anti-money laundering (AML), and ethical conduct.</w:t>
            </w:r>
          </w:p>
          <w:p w14:paraId="096EA183" w14:textId="0F9D8FEA" w:rsidR="00FD07CD" w:rsidRPr="007A136C" w:rsidRDefault="00FD07CD" w:rsidP="00FD07CD">
            <w:pPr>
              <w:pStyle w:val="ListParagraph"/>
              <w:numPr>
                <w:ilvl w:val="0"/>
                <w:numId w:val="9"/>
              </w:numPr>
              <w:jc w:val="both"/>
              <w:rPr>
                <w:rFonts w:asciiTheme="majorHAnsi" w:hAnsiTheme="majorHAnsi" w:cs="Calibri"/>
                <w:sz w:val="20"/>
                <w:szCs w:val="20"/>
              </w:rPr>
            </w:pPr>
            <w:r w:rsidRPr="007A136C">
              <w:rPr>
                <w:rFonts w:asciiTheme="majorHAnsi" w:hAnsiTheme="majorHAnsi" w:cs="Calibri"/>
                <w:sz w:val="20"/>
                <w:szCs w:val="20"/>
              </w:rPr>
              <w:t>Assess the degree of openness in reporting financial and operational performance.</w:t>
            </w:r>
          </w:p>
          <w:p w14:paraId="67015CFB" w14:textId="2FCAC791" w:rsidR="004D7B00" w:rsidRPr="007A136C" w:rsidRDefault="004D7B00" w:rsidP="000D097B">
            <w:pPr>
              <w:contextualSpacing/>
              <w:jc w:val="both"/>
              <w:rPr>
                <w:rFonts w:asciiTheme="majorHAnsi" w:hAnsiTheme="majorHAnsi" w:cs="Calibri"/>
                <w:sz w:val="20"/>
                <w:szCs w:val="20"/>
              </w:rPr>
            </w:pPr>
          </w:p>
        </w:tc>
      </w:tr>
      <w:tr w:rsidR="004D7B00" w:rsidRPr="007A136C" w14:paraId="1FBF5C18" w14:textId="77777777" w:rsidTr="00957679">
        <w:tc>
          <w:tcPr>
            <w:tcW w:w="1663" w:type="dxa"/>
          </w:tcPr>
          <w:p w14:paraId="00324189" w14:textId="39CFB241" w:rsidR="004D7B00" w:rsidRPr="007A136C" w:rsidRDefault="004D7B00" w:rsidP="00A137F1">
            <w:pPr>
              <w:jc w:val="both"/>
              <w:rPr>
                <w:rFonts w:asciiTheme="majorHAnsi" w:hAnsiTheme="majorHAnsi" w:cs="Calibri"/>
                <w:sz w:val="20"/>
                <w:szCs w:val="20"/>
              </w:rPr>
            </w:pPr>
            <w:r w:rsidRPr="007A136C">
              <w:rPr>
                <w:rFonts w:asciiTheme="majorHAnsi" w:hAnsiTheme="majorHAnsi" w:cs="Calibri"/>
                <w:sz w:val="20"/>
                <w:szCs w:val="20"/>
              </w:rPr>
              <w:lastRenderedPageBreak/>
              <w:t>Environment</w:t>
            </w:r>
            <w:r w:rsidR="00FD07CD" w:rsidRPr="007A136C">
              <w:rPr>
                <w:rFonts w:asciiTheme="majorHAnsi" w:hAnsiTheme="majorHAnsi" w:cs="Calibri"/>
                <w:sz w:val="20"/>
                <w:szCs w:val="20"/>
              </w:rPr>
              <w:t>al Responsibility</w:t>
            </w:r>
          </w:p>
        </w:tc>
        <w:tc>
          <w:tcPr>
            <w:tcW w:w="7688" w:type="dxa"/>
          </w:tcPr>
          <w:p w14:paraId="3547C8AB" w14:textId="77777777" w:rsidR="00FB795F" w:rsidRPr="00FB795F" w:rsidRDefault="00FB795F" w:rsidP="00FB795F">
            <w:pPr>
              <w:pStyle w:val="ListParagraph"/>
              <w:numPr>
                <w:ilvl w:val="0"/>
                <w:numId w:val="10"/>
              </w:numPr>
              <w:jc w:val="both"/>
              <w:rPr>
                <w:rFonts w:asciiTheme="majorHAnsi" w:hAnsiTheme="majorHAnsi" w:cs="Calibri"/>
                <w:sz w:val="20"/>
                <w:szCs w:val="20"/>
              </w:rPr>
            </w:pPr>
            <w:r w:rsidRPr="00FB795F">
              <w:rPr>
                <w:rFonts w:asciiTheme="majorHAnsi" w:hAnsiTheme="majorHAnsi" w:cs="Calibri"/>
                <w:sz w:val="20"/>
                <w:szCs w:val="20"/>
              </w:rPr>
              <w:t>Assess environmental policies, risk management practices, and the quality of environmental reporting, including the presence of measurable and independently verified targets.</w:t>
            </w:r>
          </w:p>
          <w:p w14:paraId="1DEA14B3" w14:textId="77777777" w:rsidR="00FB795F" w:rsidRPr="00FB795F" w:rsidRDefault="00FB795F" w:rsidP="00FB795F">
            <w:pPr>
              <w:pStyle w:val="ListParagraph"/>
              <w:numPr>
                <w:ilvl w:val="0"/>
                <w:numId w:val="10"/>
              </w:numPr>
              <w:jc w:val="both"/>
              <w:rPr>
                <w:rFonts w:asciiTheme="majorHAnsi" w:hAnsiTheme="majorHAnsi" w:cs="Calibri"/>
                <w:sz w:val="20"/>
                <w:szCs w:val="20"/>
              </w:rPr>
            </w:pPr>
            <w:r w:rsidRPr="00FB795F">
              <w:rPr>
                <w:rFonts w:asciiTheme="majorHAnsi" w:hAnsiTheme="majorHAnsi" w:cs="Calibri"/>
                <w:sz w:val="20"/>
                <w:szCs w:val="20"/>
              </w:rPr>
              <w:t>Evaluate lending and investment exposures to environmentally sensitive sectors (e.g., fossil fuels, forestry, extractives) and identify any links to environmentally harmful projects.</w:t>
            </w:r>
          </w:p>
          <w:p w14:paraId="24B3C5FE" w14:textId="3828E2EE" w:rsidR="004D7B00" w:rsidRPr="007A136C" w:rsidRDefault="00FB795F" w:rsidP="00FB795F">
            <w:pPr>
              <w:pStyle w:val="ListParagraph"/>
              <w:numPr>
                <w:ilvl w:val="0"/>
                <w:numId w:val="10"/>
              </w:numPr>
              <w:jc w:val="both"/>
              <w:rPr>
                <w:rFonts w:asciiTheme="majorHAnsi" w:hAnsiTheme="majorHAnsi" w:cs="Calibri"/>
                <w:sz w:val="20"/>
                <w:szCs w:val="20"/>
              </w:rPr>
            </w:pPr>
            <w:r w:rsidRPr="00FB795F">
              <w:rPr>
                <w:rFonts w:asciiTheme="majorHAnsi" w:hAnsiTheme="majorHAnsi" w:cs="Calibri"/>
                <w:sz w:val="20"/>
                <w:szCs w:val="20"/>
              </w:rPr>
              <w:t>For MTN, review environmental management practices related to infrastructure deployment (including energy use) and e-waste handling.</w:t>
            </w:r>
          </w:p>
        </w:tc>
      </w:tr>
      <w:tr w:rsidR="004D7B00" w:rsidRPr="007A136C" w14:paraId="0C96973A" w14:textId="77777777" w:rsidTr="00957679">
        <w:tc>
          <w:tcPr>
            <w:tcW w:w="1663" w:type="dxa"/>
          </w:tcPr>
          <w:p w14:paraId="0B3CCEC0" w14:textId="48A2F762" w:rsidR="004D7B00" w:rsidRPr="007A136C" w:rsidRDefault="00FD07CD" w:rsidP="00A137F1">
            <w:pPr>
              <w:jc w:val="both"/>
              <w:rPr>
                <w:rFonts w:asciiTheme="majorHAnsi" w:hAnsiTheme="majorHAnsi" w:cs="Calibri"/>
                <w:sz w:val="20"/>
                <w:szCs w:val="20"/>
              </w:rPr>
            </w:pPr>
            <w:r w:rsidRPr="007A136C">
              <w:rPr>
                <w:rFonts w:asciiTheme="majorHAnsi" w:hAnsiTheme="majorHAnsi" w:cs="Calibri"/>
                <w:sz w:val="20"/>
                <w:szCs w:val="20"/>
              </w:rPr>
              <w:t xml:space="preserve">Social Impact and </w:t>
            </w:r>
            <w:r w:rsidR="004D7B00" w:rsidRPr="007A136C">
              <w:rPr>
                <w:rFonts w:asciiTheme="majorHAnsi" w:hAnsiTheme="majorHAnsi" w:cs="Calibri"/>
                <w:sz w:val="20"/>
                <w:szCs w:val="20"/>
              </w:rPr>
              <w:t xml:space="preserve">People </w:t>
            </w:r>
          </w:p>
        </w:tc>
        <w:tc>
          <w:tcPr>
            <w:tcW w:w="7688" w:type="dxa"/>
          </w:tcPr>
          <w:p w14:paraId="6E5D7531" w14:textId="77777777" w:rsidR="00FB795F" w:rsidRPr="00FB795F" w:rsidRDefault="00FB795F" w:rsidP="00FB795F">
            <w:pPr>
              <w:pStyle w:val="ListParagraph"/>
              <w:numPr>
                <w:ilvl w:val="0"/>
                <w:numId w:val="11"/>
              </w:numPr>
              <w:jc w:val="both"/>
              <w:rPr>
                <w:rFonts w:asciiTheme="majorHAnsi" w:hAnsiTheme="majorHAnsi" w:cs="Calibri"/>
                <w:sz w:val="20"/>
                <w:szCs w:val="20"/>
              </w:rPr>
            </w:pPr>
            <w:r w:rsidRPr="00FB795F">
              <w:rPr>
                <w:rFonts w:asciiTheme="majorHAnsi" w:hAnsiTheme="majorHAnsi" w:cs="Calibri"/>
                <w:sz w:val="20"/>
                <w:szCs w:val="20"/>
              </w:rPr>
              <w:t>Assess policies and track record on human rights, labour standards, and community impacts, including any links to harmful industries or rights violations.</w:t>
            </w:r>
          </w:p>
          <w:p w14:paraId="1265DB07" w14:textId="77777777" w:rsidR="00FB795F" w:rsidRPr="00FB795F" w:rsidRDefault="00FB795F" w:rsidP="00FB795F">
            <w:pPr>
              <w:pStyle w:val="ListParagraph"/>
              <w:numPr>
                <w:ilvl w:val="0"/>
                <w:numId w:val="11"/>
              </w:numPr>
              <w:jc w:val="both"/>
              <w:rPr>
                <w:rFonts w:asciiTheme="majorHAnsi" w:hAnsiTheme="majorHAnsi" w:cs="Calibri"/>
                <w:sz w:val="20"/>
                <w:szCs w:val="20"/>
              </w:rPr>
            </w:pPr>
            <w:r w:rsidRPr="00FB795F">
              <w:rPr>
                <w:rFonts w:asciiTheme="majorHAnsi" w:hAnsiTheme="majorHAnsi" w:cs="Calibri"/>
                <w:sz w:val="20"/>
                <w:szCs w:val="20"/>
              </w:rPr>
              <w:t>Evaluate inclusivity of services and accessibility for vulnerable groups such as women, youth, and rural populations, including operations in high-risk jurisdictions.</w:t>
            </w:r>
          </w:p>
          <w:p w14:paraId="36D460E9" w14:textId="689069B1" w:rsidR="004D7B00" w:rsidRPr="007A136C" w:rsidRDefault="00FB795F" w:rsidP="00FB795F">
            <w:pPr>
              <w:pStyle w:val="ListParagraph"/>
              <w:numPr>
                <w:ilvl w:val="0"/>
                <w:numId w:val="11"/>
              </w:numPr>
              <w:jc w:val="both"/>
              <w:rPr>
                <w:rFonts w:asciiTheme="majorHAnsi" w:hAnsiTheme="majorHAnsi" w:cs="Calibri"/>
                <w:sz w:val="20"/>
                <w:szCs w:val="20"/>
              </w:rPr>
            </w:pPr>
            <w:r w:rsidRPr="00FB795F">
              <w:rPr>
                <w:rFonts w:asciiTheme="majorHAnsi" w:hAnsiTheme="majorHAnsi" w:cs="Calibri"/>
                <w:sz w:val="20"/>
                <w:szCs w:val="20"/>
              </w:rPr>
              <w:t>For MTN, review customer protection measures, data privacy practices, accessibility of mobile money services, and available grievance mechanisms.</w:t>
            </w:r>
          </w:p>
        </w:tc>
      </w:tr>
      <w:tr w:rsidR="004A69DD" w:rsidRPr="007A136C" w14:paraId="6AEBEE0C" w14:textId="77777777" w:rsidTr="00957679">
        <w:tc>
          <w:tcPr>
            <w:tcW w:w="1663" w:type="dxa"/>
          </w:tcPr>
          <w:p w14:paraId="421775B5" w14:textId="6EE7233E" w:rsidR="004A69DD" w:rsidRPr="007A136C" w:rsidRDefault="004A69DD" w:rsidP="00A137F1">
            <w:pPr>
              <w:jc w:val="both"/>
              <w:rPr>
                <w:rFonts w:asciiTheme="majorHAnsi" w:hAnsiTheme="majorHAnsi" w:cs="Calibri"/>
                <w:sz w:val="20"/>
                <w:szCs w:val="20"/>
              </w:rPr>
            </w:pPr>
            <w:r w:rsidRPr="007A136C">
              <w:rPr>
                <w:rFonts w:asciiTheme="majorHAnsi" w:hAnsiTheme="majorHAnsi" w:cs="Calibri"/>
                <w:sz w:val="20"/>
                <w:szCs w:val="20"/>
              </w:rPr>
              <w:t>Political Exposure and Compliance</w:t>
            </w:r>
          </w:p>
        </w:tc>
        <w:tc>
          <w:tcPr>
            <w:tcW w:w="7688" w:type="dxa"/>
          </w:tcPr>
          <w:p w14:paraId="779AE95E" w14:textId="77777777" w:rsidR="00E678D0" w:rsidRPr="00E678D0" w:rsidRDefault="00E678D0" w:rsidP="00E678D0">
            <w:pPr>
              <w:pStyle w:val="ListParagraph"/>
              <w:numPr>
                <w:ilvl w:val="0"/>
                <w:numId w:val="11"/>
              </w:numPr>
              <w:jc w:val="both"/>
              <w:rPr>
                <w:rFonts w:asciiTheme="majorHAnsi" w:hAnsiTheme="majorHAnsi" w:cs="Calibri"/>
                <w:sz w:val="20"/>
                <w:szCs w:val="20"/>
              </w:rPr>
            </w:pPr>
            <w:r w:rsidRPr="00E678D0">
              <w:rPr>
                <w:rFonts w:asciiTheme="majorHAnsi" w:hAnsiTheme="majorHAnsi" w:cs="Calibri"/>
                <w:sz w:val="20"/>
                <w:szCs w:val="20"/>
              </w:rPr>
              <w:t>Assess involvement in political activities, including lobbying, political affiliations, and financial contributions, alongside exposure to regulatory or legal sanctions.</w:t>
            </w:r>
          </w:p>
          <w:p w14:paraId="0CF7A028" w14:textId="77777777" w:rsidR="00E678D0" w:rsidRPr="00E678D0" w:rsidRDefault="00E678D0" w:rsidP="00E678D0">
            <w:pPr>
              <w:pStyle w:val="ListParagraph"/>
              <w:numPr>
                <w:ilvl w:val="0"/>
                <w:numId w:val="11"/>
              </w:numPr>
              <w:jc w:val="both"/>
              <w:rPr>
                <w:rFonts w:asciiTheme="majorHAnsi" w:hAnsiTheme="majorHAnsi" w:cs="Calibri"/>
                <w:sz w:val="20"/>
                <w:szCs w:val="20"/>
              </w:rPr>
            </w:pPr>
            <w:r w:rsidRPr="00E678D0">
              <w:rPr>
                <w:rFonts w:asciiTheme="majorHAnsi" w:hAnsiTheme="majorHAnsi" w:cs="Calibri"/>
                <w:sz w:val="20"/>
                <w:szCs w:val="20"/>
              </w:rPr>
              <w:t>Evaluate risks related to tax practices, including potential use of aggressive tax avoidance strategies.</w:t>
            </w:r>
          </w:p>
          <w:p w14:paraId="190B8B4E" w14:textId="12C7CC51" w:rsidR="004A69DD" w:rsidRPr="007A136C" w:rsidRDefault="00E678D0" w:rsidP="00E678D0">
            <w:pPr>
              <w:pStyle w:val="ListParagraph"/>
              <w:numPr>
                <w:ilvl w:val="0"/>
                <w:numId w:val="11"/>
              </w:numPr>
              <w:jc w:val="both"/>
              <w:rPr>
                <w:rFonts w:asciiTheme="majorHAnsi" w:hAnsiTheme="majorHAnsi" w:cs="Calibri"/>
                <w:sz w:val="20"/>
                <w:szCs w:val="20"/>
              </w:rPr>
            </w:pPr>
            <w:r w:rsidRPr="00E678D0">
              <w:rPr>
                <w:rFonts w:asciiTheme="majorHAnsi" w:hAnsiTheme="majorHAnsi" w:cs="Calibri"/>
                <w:sz w:val="20"/>
                <w:szCs w:val="20"/>
              </w:rPr>
              <w:t>Identify any public controversies, reputational risks, or boycott campaigns associated with the institution.</w:t>
            </w:r>
          </w:p>
        </w:tc>
      </w:tr>
      <w:tr w:rsidR="004A69DD" w:rsidRPr="007A136C" w14:paraId="67DF4D6C" w14:textId="77777777" w:rsidTr="00957679">
        <w:tc>
          <w:tcPr>
            <w:tcW w:w="1663" w:type="dxa"/>
          </w:tcPr>
          <w:p w14:paraId="2FCFDE2C" w14:textId="77777777" w:rsidR="004A69DD" w:rsidRPr="007A136C" w:rsidRDefault="004A69DD" w:rsidP="004A69DD">
            <w:pPr>
              <w:jc w:val="both"/>
              <w:rPr>
                <w:rFonts w:asciiTheme="majorHAnsi" w:hAnsiTheme="majorHAnsi" w:cs="Calibri"/>
                <w:sz w:val="20"/>
                <w:szCs w:val="20"/>
              </w:rPr>
            </w:pPr>
            <w:r w:rsidRPr="007A136C">
              <w:rPr>
                <w:rFonts w:asciiTheme="majorHAnsi" w:hAnsiTheme="majorHAnsi" w:cs="Calibri"/>
                <w:sz w:val="20"/>
                <w:szCs w:val="20"/>
              </w:rPr>
              <w:t>Financial Service Delivery and Inclusion (Context-Specific Layer)</w:t>
            </w:r>
          </w:p>
          <w:p w14:paraId="56222827" w14:textId="77777777" w:rsidR="004A69DD" w:rsidRPr="007A136C" w:rsidRDefault="004A69DD" w:rsidP="00A137F1">
            <w:pPr>
              <w:jc w:val="both"/>
              <w:rPr>
                <w:rFonts w:asciiTheme="majorHAnsi" w:hAnsiTheme="majorHAnsi" w:cs="Calibri"/>
                <w:sz w:val="20"/>
                <w:szCs w:val="20"/>
              </w:rPr>
            </w:pPr>
          </w:p>
        </w:tc>
        <w:tc>
          <w:tcPr>
            <w:tcW w:w="7688" w:type="dxa"/>
          </w:tcPr>
          <w:p w14:paraId="32518B64" w14:textId="4919540F" w:rsidR="004A69DD" w:rsidRPr="007A136C" w:rsidRDefault="004A69DD" w:rsidP="004A69DD">
            <w:pPr>
              <w:pStyle w:val="ListParagraph"/>
              <w:numPr>
                <w:ilvl w:val="0"/>
                <w:numId w:val="11"/>
              </w:numPr>
              <w:jc w:val="both"/>
              <w:rPr>
                <w:rFonts w:asciiTheme="majorHAnsi" w:hAnsiTheme="majorHAnsi" w:cs="Calibri"/>
                <w:sz w:val="20"/>
                <w:szCs w:val="20"/>
              </w:rPr>
            </w:pPr>
            <w:r w:rsidRPr="007A136C">
              <w:rPr>
                <w:rFonts w:asciiTheme="majorHAnsi" w:hAnsiTheme="majorHAnsi" w:cs="Calibri"/>
                <w:sz w:val="20"/>
                <w:szCs w:val="20"/>
              </w:rPr>
              <w:t xml:space="preserve">Assess the capacity of the institutions to deliver inclusive, affordable, and accessible financial services, including savings, credit, and digital financial services. </w:t>
            </w:r>
          </w:p>
          <w:p w14:paraId="7D5D5550" w14:textId="461F933B" w:rsidR="004A69DD" w:rsidRPr="007A136C" w:rsidRDefault="004A69DD" w:rsidP="004A69DD">
            <w:pPr>
              <w:pStyle w:val="ListParagraph"/>
              <w:numPr>
                <w:ilvl w:val="0"/>
                <w:numId w:val="11"/>
              </w:numPr>
              <w:jc w:val="both"/>
              <w:rPr>
                <w:rFonts w:asciiTheme="majorHAnsi" w:hAnsiTheme="majorHAnsi" w:cs="Calibri"/>
                <w:sz w:val="20"/>
                <w:szCs w:val="20"/>
              </w:rPr>
            </w:pPr>
            <w:r w:rsidRPr="007A136C">
              <w:rPr>
                <w:rFonts w:asciiTheme="majorHAnsi" w:hAnsiTheme="majorHAnsi" w:cs="Calibri"/>
                <w:sz w:val="20"/>
                <w:szCs w:val="20"/>
              </w:rPr>
              <w:t xml:space="preserve">Evaluate outreach mechanisms such as branch networks, agent banking, and mobile money platforms, especially in rural and underserved THRIVE implementation areas. </w:t>
            </w:r>
          </w:p>
          <w:p w14:paraId="009EE40A" w14:textId="7B2DF85D" w:rsidR="004A69DD" w:rsidRPr="007A136C" w:rsidRDefault="004A69DD" w:rsidP="004A69DD">
            <w:pPr>
              <w:pStyle w:val="ListParagraph"/>
              <w:numPr>
                <w:ilvl w:val="0"/>
                <w:numId w:val="11"/>
              </w:numPr>
              <w:jc w:val="both"/>
              <w:rPr>
                <w:rFonts w:asciiTheme="majorHAnsi" w:hAnsiTheme="majorHAnsi" w:cs="Calibri"/>
                <w:sz w:val="20"/>
                <w:szCs w:val="20"/>
              </w:rPr>
            </w:pPr>
            <w:r w:rsidRPr="007A136C">
              <w:rPr>
                <w:rFonts w:asciiTheme="majorHAnsi" w:hAnsiTheme="majorHAnsi" w:cs="Calibri"/>
                <w:sz w:val="20"/>
                <w:szCs w:val="20"/>
              </w:rPr>
              <w:t xml:space="preserve">Review the suitability of financial products for VSLA members and market system actors, including flexibility, affordability, and risk-sharing features. </w:t>
            </w:r>
          </w:p>
          <w:p w14:paraId="776B3BBA" w14:textId="59C9F488" w:rsidR="004A69DD" w:rsidRPr="00E678D0" w:rsidRDefault="004A69DD" w:rsidP="00E678D0">
            <w:pPr>
              <w:pStyle w:val="ListParagraph"/>
              <w:numPr>
                <w:ilvl w:val="0"/>
                <w:numId w:val="11"/>
              </w:numPr>
              <w:jc w:val="both"/>
              <w:rPr>
                <w:rFonts w:asciiTheme="majorHAnsi" w:hAnsiTheme="majorHAnsi" w:cs="Calibri"/>
                <w:sz w:val="20"/>
                <w:szCs w:val="20"/>
              </w:rPr>
            </w:pPr>
            <w:r w:rsidRPr="007A136C">
              <w:rPr>
                <w:rFonts w:asciiTheme="majorHAnsi" w:hAnsiTheme="majorHAnsi" w:cs="Calibri"/>
                <w:sz w:val="20"/>
                <w:szCs w:val="20"/>
              </w:rPr>
              <w:t>Assess MTN’s mobile money ecosystem, interoperability potential, and capacity to support last-mile financial inclusion.</w:t>
            </w:r>
          </w:p>
        </w:tc>
      </w:tr>
      <w:tr w:rsidR="004D7B00" w:rsidRPr="007A136C" w14:paraId="600FDE21" w14:textId="77777777" w:rsidTr="00957679">
        <w:trPr>
          <w:trHeight w:val="1253"/>
        </w:trPr>
        <w:tc>
          <w:tcPr>
            <w:tcW w:w="1663" w:type="dxa"/>
          </w:tcPr>
          <w:p w14:paraId="6F8A2854" w14:textId="77777777" w:rsidR="004A69DD" w:rsidRPr="007A136C" w:rsidRDefault="004A69DD" w:rsidP="004A69DD">
            <w:pPr>
              <w:jc w:val="both"/>
              <w:rPr>
                <w:rFonts w:asciiTheme="majorHAnsi" w:hAnsiTheme="majorHAnsi" w:cs="Calibri"/>
                <w:sz w:val="20"/>
                <w:szCs w:val="20"/>
              </w:rPr>
            </w:pPr>
            <w:r w:rsidRPr="007A136C">
              <w:rPr>
                <w:rFonts w:asciiTheme="majorHAnsi" w:hAnsiTheme="majorHAnsi" w:cs="Calibri"/>
                <w:sz w:val="20"/>
                <w:szCs w:val="20"/>
              </w:rPr>
              <w:t>Risk Analysis and Partnership Considerations</w:t>
            </w:r>
          </w:p>
          <w:p w14:paraId="0834319D" w14:textId="01075938" w:rsidR="004D7B00" w:rsidRPr="007A136C" w:rsidRDefault="004D7B00" w:rsidP="00A137F1">
            <w:pPr>
              <w:jc w:val="both"/>
              <w:rPr>
                <w:rFonts w:asciiTheme="majorHAnsi" w:hAnsiTheme="majorHAnsi" w:cs="Calibri"/>
                <w:sz w:val="20"/>
                <w:szCs w:val="20"/>
              </w:rPr>
            </w:pPr>
          </w:p>
        </w:tc>
        <w:tc>
          <w:tcPr>
            <w:tcW w:w="7688" w:type="dxa"/>
          </w:tcPr>
          <w:p w14:paraId="6F4CFD50" w14:textId="77777777" w:rsidR="004A69DD" w:rsidRPr="007A136C" w:rsidRDefault="004A69DD" w:rsidP="004A69DD">
            <w:pPr>
              <w:pStyle w:val="ListParagraph"/>
              <w:numPr>
                <w:ilvl w:val="0"/>
                <w:numId w:val="12"/>
              </w:numPr>
              <w:jc w:val="both"/>
              <w:rPr>
                <w:rFonts w:asciiTheme="majorHAnsi" w:hAnsiTheme="majorHAnsi" w:cs="Calibri"/>
                <w:sz w:val="20"/>
                <w:szCs w:val="20"/>
              </w:rPr>
            </w:pPr>
            <w:r w:rsidRPr="007A136C">
              <w:rPr>
                <w:rFonts w:asciiTheme="majorHAnsi" w:hAnsiTheme="majorHAnsi" w:cs="Calibri"/>
                <w:sz w:val="20"/>
                <w:szCs w:val="20"/>
              </w:rPr>
              <w:t xml:space="preserve">Identify </w:t>
            </w:r>
            <w:r w:rsidRPr="00FB795F">
              <w:rPr>
                <w:rFonts w:asciiTheme="majorHAnsi" w:hAnsiTheme="majorHAnsi" w:cs="Calibri"/>
                <w:sz w:val="20"/>
                <w:szCs w:val="20"/>
              </w:rPr>
              <w:t>key operational, fiduciary, reputational, and contextual risks</w:t>
            </w:r>
            <w:r w:rsidRPr="007A136C">
              <w:rPr>
                <w:rFonts w:asciiTheme="majorHAnsi" w:hAnsiTheme="majorHAnsi" w:cs="Calibri"/>
                <w:sz w:val="20"/>
                <w:szCs w:val="20"/>
              </w:rPr>
              <w:t xml:space="preserve"> associated with engaging each institution. </w:t>
            </w:r>
          </w:p>
          <w:p w14:paraId="228494E9" w14:textId="77777777" w:rsidR="004A69DD" w:rsidRPr="007A136C" w:rsidRDefault="004A69DD" w:rsidP="004A69DD">
            <w:pPr>
              <w:pStyle w:val="ListParagraph"/>
              <w:numPr>
                <w:ilvl w:val="0"/>
                <w:numId w:val="12"/>
              </w:numPr>
              <w:jc w:val="both"/>
              <w:rPr>
                <w:rFonts w:asciiTheme="majorHAnsi" w:hAnsiTheme="majorHAnsi" w:cs="Calibri"/>
                <w:sz w:val="20"/>
                <w:szCs w:val="20"/>
              </w:rPr>
            </w:pPr>
            <w:r w:rsidRPr="007A136C">
              <w:rPr>
                <w:rFonts w:asciiTheme="majorHAnsi" w:hAnsiTheme="majorHAnsi" w:cs="Calibri"/>
                <w:sz w:val="20"/>
                <w:szCs w:val="20"/>
              </w:rPr>
              <w:t xml:space="preserve">Assess the overall alignment of each institution with GOAL’s safeguarding, ethical, and partnership standards. </w:t>
            </w:r>
          </w:p>
          <w:p w14:paraId="5B7846CD" w14:textId="43154854" w:rsidR="004A69DD" w:rsidRPr="007A136C" w:rsidRDefault="004A69DD" w:rsidP="004A69DD">
            <w:pPr>
              <w:pStyle w:val="ListParagraph"/>
              <w:numPr>
                <w:ilvl w:val="0"/>
                <w:numId w:val="12"/>
              </w:numPr>
              <w:jc w:val="both"/>
              <w:rPr>
                <w:rFonts w:asciiTheme="majorHAnsi" w:hAnsiTheme="majorHAnsi" w:cs="Calibri"/>
                <w:sz w:val="20"/>
                <w:szCs w:val="20"/>
              </w:rPr>
            </w:pPr>
            <w:r w:rsidRPr="007A136C">
              <w:rPr>
                <w:rFonts w:asciiTheme="majorHAnsi" w:hAnsiTheme="majorHAnsi" w:cs="Calibri"/>
                <w:sz w:val="20"/>
                <w:szCs w:val="20"/>
              </w:rPr>
              <w:t>Provide a comparative analysis of the institutions’ strengths and limitations in relation to THRIVE objectives.</w:t>
            </w:r>
          </w:p>
          <w:p w14:paraId="55600796" w14:textId="670D6480" w:rsidR="004D7B00" w:rsidRPr="007A136C" w:rsidRDefault="004D7B00" w:rsidP="000D097B">
            <w:pPr>
              <w:contextualSpacing/>
              <w:jc w:val="both"/>
              <w:rPr>
                <w:rFonts w:asciiTheme="majorHAnsi" w:hAnsiTheme="majorHAnsi" w:cs="Calibri"/>
                <w:sz w:val="20"/>
                <w:szCs w:val="20"/>
              </w:rPr>
            </w:pPr>
          </w:p>
        </w:tc>
      </w:tr>
    </w:tbl>
    <w:p w14:paraId="382CFDAD" w14:textId="77777777" w:rsidR="00957679" w:rsidRDefault="00957679" w:rsidP="00A137F1">
      <w:pPr>
        <w:jc w:val="both"/>
        <w:rPr>
          <w:rFonts w:eastAsiaTheme="minorHAnsi" w:cstheme="minorHAnsi"/>
          <w:b/>
          <w:color w:val="087838"/>
          <w:sz w:val="26"/>
          <w:szCs w:val="26"/>
        </w:rPr>
      </w:pPr>
    </w:p>
    <w:p w14:paraId="7BC6DF6E" w14:textId="17768084" w:rsidR="00957679" w:rsidRPr="007A136C" w:rsidRDefault="00957679" w:rsidP="007A136C">
      <w:pPr>
        <w:pStyle w:val="NoSpacing"/>
        <w:spacing w:before="0" w:line="276" w:lineRule="auto"/>
        <w:jc w:val="both"/>
        <w:rPr>
          <w:rFonts w:eastAsiaTheme="minorHAnsi" w:cstheme="minorHAnsi"/>
          <w:b/>
          <w:color w:val="087838"/>
          <w:sz w:val="26"/>
          <w:szCs w:val="26"/>
        </w:rPr>
      </w:pPr>
      <w:r w:rsidRPr="005F26D2">
        <w:rPr>
          <w:rFonts w:eastAsiaTheme="minorHAnsi" w:cstheme="minorHAnsi"/>
          <w:b/>
          <w:color w:val="087838"/>
          <w:sz w:val="26"/>
          <w:szCs w:val="26"/>
        </w:rPr>
        <w:t>Key deliverables and documents to submit to GOAL</w:t>
      </w:r>
      <w:r w:rsidRPr="007A136C">
        <w:rPr>
          <w:rFonts w:eastAsiaTheme="minorHAnsi" w:cstheme="minorHAnsi"/>
          <w:b/>
          <w:color w:val="087838"/>
          <w:sz w:val="26"/>
          <w:szCs w:val="26"/>
        </w:rPr>
        <w:t xml:space="preserve"> </w:t>
      </w:r>
    </w:p>
    <w:p w14:paraId="5F31095C" w14:textId="4D421906" w:rsidR="004D7B00" w:rsidRPr="007A136C" w:rsidRDefault="004D7B00" w:rsidP="007A136C">
      <w:pPr>
        <w:pStyle w:val="NoSpacing"/>
        <w:spacing w:before="0" w:line="276" w:lineRule="auto"/>
        <w:jc w:val="both"/>
        <w:rPr>
          <w:rFonts w:asciiTheme="majorHAnsi" w:eastAsiaTheme="minorHAnsi" w:hAnsiTheme="majorHAnsi" w:cs="Calibri"/>
          <w:sz w:val="22"/>
          <w:szCs w:val="22"/>
        </w:rPr>
      </w:pPr>
      <w:r w:rsidRPr="007A136C">
        <w:rPr>
          <w:rFonts w:asciiTheme="majorHAnsi" w:eastAsiaTheme="minorHAnsi" w:hAnsiTheme="majorHAnsi" w:cs="Calibri"/>
          <w:sz w:val="22"/>
          <w:szCs w:val="22"/>
        </w:rPr>
        <w:t>The consultant will prepare and deliver to GOAL the following upon completion of the assignment:</w:t>
      </w:r>
    </w:p>
    <w:p w14:paraId="5C0B4600" w14:textId="77777777" w:rsidR="00DA724F" w:rsidRPr="007A136C" w:rsidRDefault="00DA724F" w:rsidP="00DA724F">
      <w:pPr>
        <w:pStyle w:val="ListParagraph"/>
        <w:numPr>
          <w:ilvl w:val="0"/>
          <w:numId w:val="13"/>
        </w:numPr>
        <w:jc w:val="both"/>
        <w:rPr>
          <w:rFonts w:asciiTheme="majorHAnsi" w:eastAsiaTheme="minorHAnsi" w:hAnsiTheme="majorHAnsi" w:cs="Calibri"/>
          <w:sz w:val="22"/>
          <w:szCs w:val="22"/>
          <w:lang w:eastAsia="en-US"/>
        </w:rPr>
      </w:pPr>
      <w:r w:rsidRPr="007A136C">
        <w:rPr>
          <w:rFonts w:asciiTheme="majorHAnsi" w:eastAsiaTheme="minorHAnsi" w:hAnsiTheme="majorHAnsi" w:cs="Calibri"/>
          <w:sz w:val="22"/>
          <w:szCs w:val="22"/>
          <w:lang w:eastAsia="en-US"/>
        </w:rPr>
        <w:t>Develop and submit a clear methodology and work plan (</w:t>
      </w:r>
      <w:r w:rsidRPr="007A136C">
        <w:rPr>
          <w:rFonts w:asciiTheme="majorHAnsi" w:eastAsiaTheme="minorHAnsi" w:hAnsiTheme="majorHAnsi" w:cs="Calibri"/>
          <w:b/>
          <w:bCs/>
          <w:sz w:val="22"/>
          <w:szCs w:val="22"/>
          <w:lang w:eastAsia="en-US"/>
        </w:rPr>
        <w:t>maximum 5 pages</w:t>
      </w:r>
      <w:r w:rsidRPr="007A136C">
        <w:rPr>
          <w:rFonts w:asciiTheme="majorHAnsi" w:eastAsiaTheme="minorHAnsi" w:hAnsiTheme="majorHAnsi" w:cs="Calibri"/>
          <w:sz w:val="22"/>
          <w:szCs w:val="22"/>
          <w:lang w:eastAsia="en-US"/>
        </w:rPr>
        <w:t>) outlining the approach, tools, and timelines for the assignment.</w:t>
      </w:r>
    </w:p>
    <w:p w14:paraId="0A59698E" w14:textId="77777777" w:rsidR="00DA724F" w:rsidRPr="007A136C" w:rsidRDefault="00DA724F" w:rsidP="00DA724F">
      <w:pPr>
        <w:pStyle w:val="ListParagraph"/>
        <w:numPr>
          <w:ilvl w:val="0"/>
          <w:numId w:val="13"/>
        </w:numPr>
        <w:jc w:val="both"/>
        <w:rPr>
          <w:rFonts w:asciiTheme="majorHAnsi" w:eastAsiaTheme="minorHAnsi" w:hAnsiTheme="majorHAnsi" w:cs="Calibri"/>
          <w:sz w:val="22"/>
          <w:szCs w:val="22"/>
          <w:lang w:eastAsia="en-US"/>
        </w:rPr>
      </w:pPr>
      <w:r w:rsidRPr="007A136C">
        <w:rPr>
          <w:rFonts w:asciiTheme="majorHAnsi" w:eastAsia="Times New Roman" w:hAnsiTheme="majorHAnsi" w:cs="Calibri"/>
          <w:kern w:val="0"/>
          <w:sz w:val="22"/>
          <w:szCs w:val="22"/>
          <w14:ligatures w14:val="none"/>
        </w:rPr>
        <w:t>Conduct comprehensive ethical due diligence assessments in line with the agreed scope, ensuring accuracy, evidence-based analysis, and proper referencing.</w:t>
      </w:r>
    </w:p>
    <w:p w14:paraId="6CC36D61" w14:textId="77777777" w:rsidR="00DA724F" w:rsidRPr="007A136C" w:rsidRDefault="00DA724F" w:rsidP="00DA724F">
      <w:pPr>
        <w:pStyle w:val="ListParagraph"/>
        <w:numPr>
          <w:ilvl w:val="0"/>
          <w:numId w:val="13"/>
        </w:numPr>
        <w:jc w:val="both"/>
        <w:rPr>
          <w:rFonts w:asciiTheme="majorHAnsi" w:eastAsiaTheme="minorHAnsi" w:hAnsiTheme="majorHAnsi" w:cs="Calibri"/>
          <w:sz w:val="22"/>
          <w:szCs w:val="22"/>
          <w:lang w:eastAsia="en-US"/>
        </w:rPr>
      </w:pPr>
      <w:r w:rsidRPr="007A136C">
        <w:rPr>
          <w:rFonts w:asciiTheme="majorHAnsi" w:eastAsia="Times New Roman" w:hAnsiTheme="majorHAnsi" w:cs="Calibri"/>
          <w:kern w:val="0"/>
          <w:sz w:val="22"/>
          <w:szCs w:val="22"/>
          <w14:ligatures w14:val="none"/>
        </w:rPr>
        <w:t xml:space="preserve">Prepare and submit detailed due diligence reports for </w:t>
      </w:r>
      <w:r w:rsidRPr="007A136C">
        <w:rPr>
          <w:rFonts w:asciiTheme="majorHAnsi" w:eastAsia="Times New Roman" w:hAnsiTheme="majorHAnsi" w:cs="Calibri"/>
          <w:b/>
          <w:bCs/>
          <w:kern w:val="0"/>
          <w:sz w:val="22"/>
          <w:szCs w:val="22"/>
          <w14:ligatures w14:val="none"/>
        </w:rPr>
        <w:t>Cooperative Bank of South Sudan</w:t>
      </w:r>
      <w:r w:rsidRPr="007A136C">
        <w:rPr>
          <w:rFonts w:asciiTheme="majorHAnsi" w:eastAsia="Times New Roman" w:hAnsiTheme="majorHAnsi" w:cs="Calibri"/>
          <w:kern w:val="0"/>
          <w:sz w:val="22"/>
          <w:szCs w:val="22"/>
          <w14:ligatures w14:val="none"/>
        </w:rPr>
        <w:t xml:space="preserve">, </w:t>
      </w:r>
      <w:r w:rsidRPr="007A136C">
        <w:rPr>
          <w:rFonts w:asciiTheme="majorHAnsi" w:eastAsia="Times New Roman" w:hAnsiTheme="majorHAnsi" w:cs="Calibri"/>
          <w:b/>
          <w:bCs/>
          <w:kern w:val="0"/>
          <w:sz w:val="22"/>
          <w:szCs w:val="22"/>
          <w14:ligatures w14:val="none"/>
        </w:rPr>
        <w:t>Alpha Commercial Bank</w:t>
      </w:r>
      <w:r w:rsidRPr="007A136C">
        <w:rPr>
          <w:rFonts w:asciiTheme="majorHAnsi" w:eastAsia="Times New Roman" w:hAnsiTheme="majorHAnsi" w:cs="Calibri"/>
          <w:kern w:val="0"/>
          <w:sz w:val="22"/>
          <w:szCs w:val="22"/>
          <w14:ligatures w14:val="none"/>
        </w:rPr>
        <w:t xml:space="preserve">, and </w:t>
      </w:r>
      <w:r w:rsidRPr="007A136C">
        <w:rPr>
          <w:rFonts w:asciiTheme="majorHAnsi" w:eastAsia="Times New Roman" w:hAnsiTheme="majorHAnsi" w:cs="Calibri"/>
          <w:b/>
          <w:bCs/>
          <w:kern w:val="0"/>
          <w:sz w:val="22"/>
          <w:szCs w:val="22"/>
          <w14:ligatures w14:val="none"/>
        </w:rPr>
        <w:t>MTN South Sudan</w:t>
      </w:r>
      <w:r w:rsidRPr="007A136C">
        <w:rPr>
          <w:rFonts w:asciiTheme="majorHAnsi" w:eastAsia="Times New Roman" w:hAnsiTheme="majorHAnsi" w:cs="Calibri"/>
          <w:kern w:val="0"/>
          <w:sz w:val="22"/>
          <w:szCs w:val="22"/>
          <w14:ligatures w14:val="none"/>
        </w:rPr>
        <w:t>, including findings, risk analysis, and recommendations.</w:t>
      </w:r>
    </w:p>
    <w:p w14:paraId="6C6698FD" w14:textId="77777777" w:rsidR="00DA724F" w:rsidRPr="007A136C" w:rsidRDefault="00DA724F" w:rsidP="00DA724F">
      <w:pPr>
        <w:pStyle w:val="ListParagraph"/>
        <w:numPr>
          <w:ilvl w:val="0"/>
          <w:numId w:val="13"/>
        </w:numPr>
        <w:jc w:val="both"/>
        <w:rPr>
          <w:rFonts w:asciiTheme="majorHAnsi" w:eastAsiaTheme="minorHAnsi" w:hAnsiTheme="majorHAnsi" w:cs="Calibri"/>
          <w:sz w:val="22"/>
          <w:szCs w:val="22"/>
          <w:lang w:eastAsia="en-US"/>
        </w:rPr>
      </w:pPr>
      <w:r w:rsidRPr="007A136C">
        <w:rPr>
          <w:rFonts w:asciiTheme="majorHAnsi" w:eastAsia="Times New Roman" w:hAnsiTheme="majorHAnsi" w:cs="Calibri"/>
          <w:kern w:val="0"/>
          <w:sz w:val="22"/>
          <w:szCs w:val="22"/>
          <w14:ligatures w14:val="none"/>
        </w:rPr>
        <w:t>Provide a consolidated summary highlighting key insights, comparative strengths, risks, and strategic partnership recommendations across all institutions.</w:t>
      </w:r>
    </w:p>
    <w:p w14:paraId="73B6CA6F" w14:textId="222B4B66" w:rsidR="00DA724F" w:rsidRPr="007A136C" w:rsidRDefault="00DA724F" w:rsidP="00A137F1">
      <w:pPr>
        <w:pStyle w:val="ListParagraph"/>
        <w:numPr>
          <w:ilvl w:val="0"/>
          <w:numId w:val="13"/>
        </w:numPr>
        <w:jc w:val="both"/>
        <w:rPr>
          <w:rFonts w:asciiTheme="majorHAnsi" w:eastAsiaTheme="minorHAnsi" w:hAnsiTheme="majorHAnsi" w:cs="Calibri"/>
          <w:sz w:val="22"/>
          <w:szCs w:val="22"/>
          <w:lang w:eastAsia="en-US"/>
        </w:rPr>
      </w:pPr>
      <w:r w:rsidRPr="007A136C">
        <w:rPr>
          <w:rFonts w:asciiTheme="majorHAnsi" w:eastAsia="Times New Roman" w:hAnsiTheme="majorHAnsi" w:cs="Calibri"/>
          <w:kern w:val="0"/>
          <w:sz w:val="22"/>
          <w:szCs w:val="22"/>
          <w14:ligatures w14:val="none"/>
        </w:rPr>
        <w:lastRenderedPageBreak/>
        <w:t>Submit all required financial and payment documentation related to the consultancy in accordance with GOAL’s procedures.</w:t>
      </w:r>
    </w:p>
    <w:p w14:paraId="5DEAC13A" w14:textId="5B3F3465" w:rsidR="00DA724F" w:rsidRPr="007A136C" w:rsidRDefault="00DA724F" w:rsidP="007A136C">
      <w:pPr>
        <w:pStyle w:val="NoSpacing"/>
        <w:spacing w:before="0" w:line="276" w:lineRule="auto"/>
        <w:jc w:val="both"/>
        <w:rPr>
          <w:rFonts w:eastAsiaTheme="minorHAnsi" w:cstheme="minorHAnsi"/>
          <w:b/>
          <w:color w:val="087838"/>
          <w:sz w:val="26"/>
          <w:szCs w:val="26"/>
        </w:rPr>
      </w:pPr>
      <w:bookmarkStart w:id="5" w:name="_Toc232423945"/>
      <w:r w:rsidRPr="007A136C">
        <w:rPr>
          <w:rFonts w:eastAsiaTheme="minorHAnsi" w:cstheme="minorHAnsi"/>
          <w:b/>
          <w:color w:val="087838"/>
          <w:sz w:val="26"/>
          <w:szCs w:val="26"/>
        </w:rPr>
        <w:t>GOAL’s Responsibility</w:t>
      </w:r>
    </w:p>
    <w:p w14:paraId="14415535" w14:textId="2853A494" w:rsidR="00DA724F" w:rsidRPr="007A136C" w:rsidRDefault="00DA724F" w:rsidP="007A136C">
      <w:pPr>
        <w:pStyle w:val="NoSpacing"/>
        <w:numPr>
          <w:ilvl w:val="0"/>
          <w:numId w:val="15"/>
        </w:numPr>
        <w:spacing w:before="0" w:line="276" w:lineRule="auto"/>
        <w:jc w:val="both"/>
        <w:rPr>
          <w:rFonts w:asciiTheme="majorHAnsi" w:hAnsiTheme="majorHAnsi" w:cs="Calibri"/>
          <w:sz w:val="22"/>
          <w:szCs w:val="22"/>
        </w:rPr>
      </w:pPr>
      <w:r w:rsidRPr="007A136C">
        <w:rPr>
          <w:rFonts w:asciiTheme="majorHAnsi" w:hAnsiTheme="majorHAnsi" w:cs="Calibri"/>
          <w:kern w:val="2"/>
          <w:sz w:val="22"/>
          <w:szCs w:val="22"/>
          <w:lang w:eastAsia="zh-CN"/>
          <w14:ligatures w14:val="standardContextual"/>
        </w:rPr>
        <w:t>Provide terms of reference</w:t>
      </w:r>
      <w:r w:rsidRPr="007A136C">
        <w:rPr>
          <w:rFonts w:asciiTheme="majorHAnsi" w:hAnsiTheme="majorHAnsi" w:cs="Calibri"/>
          <w:sz w:val="22"/>
          <w:szCs w:val="22"/>
        </w:rPr>
        <w:t xml:space="preserve"> for the assignment</w:t>
      </w:r>
    </w:p>
    <w:p w14:paraId="296E995D" w14:textId="77777777" w:rsidR="00DA724F" w:rsidRPr="007A136C" w:rsidRDefault="00DA724F" w:rsidP="00DA724F">
      <w:pPr>
        <w:pStyle w:val="ListParagraph"/>
        <w:numPr>
          <w:ilvl w:val="0"/>
          <w:numId w:val="15"/>
        </w:numPr>
        <w:spacing w:line="259" w:lineRule="auto"/>
        <w:jc w:val="both"/>
        <w:rPr>
          <w:rFonts w:asciiTheme="majorHAnsi" w:hAnsiTheme="majorHAnsi" w:cs="Calibri"/>
          <w:sz w:val="22"/>
          <w:szCs w:val="22"/>
        </w:rPr>
      </w:pPr>
      <w:r w:rsidRPr="007A136C">
        <w:rPr>
          <w:rFonts w:asciiTheme="majorHAnsi" w:hAnsiTheme="majorHAnsi" w:cs="Calibri"/>
          <w:sz w:val="22"/>
          <w:szCs w:val="22"/>
        </w:rPr>
        <w:t>Hold briefing session (if required) by the service provider</w:t>
      </w:r>
    </w:p>
    <w:p w14:paraId="12FE46BA" w14:textId="77777777" w:rsidR="00DA724F" w:rsidRPr="007A136C" w:rsidRDefault="00DA724F" w:rsidP="00DA724F">
      <w:pPr>
        <w:pStyle w:val="ListParagraph"/>
        <w:numPr>
          <w:ilvl w:val="0"/>
          <w:numId w:val="15"/>
        </w:numPr>
        <w:spacing w:line="259" w:lineRule="auto"/>
        <w:jc w:val="both"/>
        <w:rPr>
          <w:rFonts w:asciiTheme="majorHAnsi" w:hAnsiTheme="majorHAnsi" w:cs="Calibri"/>
          <w:sz w:val="22"/>
          <w:szCs w:val="22"/>
        </w:rPr>
      </w:pPr>
      <w:r w:rsidRPr="007A136C">
        <w:rPr>
          <w:rFonts w:asciiTheme="majorHAnsi" w:hAnsiTheme="majorHAnsi" w:cs="Calibri"/>
          <w:sz w:val="22"/>
          <w:szCs w:val="22"/>
        </w:rPr>
        <w:t>Meet the costs of professional services of the completed assignments as agreed</w:t>
      </w:r>
    </w:p>
    <w:p w14:paraId="38527513" w14:textId="447BA121" w:rsidR="00DA724F" w:rsidRPr="007A136C" w:rsidRDefault="00DA724F" w:rsidP="007A136C">
      <w:pPr>
        <w:pStyle w:val="NoSpacing"/>
        <w:spacing w:before="0" w:line="276" w:lineRule="auto"/>
        <w:jc w:val="both"/>
        <w:rPr>
          <w:rFonts w:eastAsiaTheme="minorHAnsi" w:cstheme="minorHAnsi"/>
          <w:b/>
          <w:color w:val="087838"/>
          <w:sz w:val="26"/>
          <w:szCs w:val="26"/>
        </w:rPr>
      </w:pPr>
      <w:r w:rsidRPr="007A136C">
        <w:rPr>
          <w:rFonts w:eastAsiaTheme="minorHAnsi" w:cstheme="minorHAnsi"/>
          <w:b/>
          <w:color w:val="087838"/>
          <w:sz w:val="26"/>
          <w:szCs w:val="26"/>
        </w:rPr>
        <w:t>Service Provider Selection Criteria</w:t>
      </w:r>
    </w:p>
    <w:p w14:paraId="63746497" w14:textId="77777777" w:rsidR="007A136C" w:rsidRDefault="00DA724F" w:rsidP="007A136C">
      <w:pPr>
        <w:pStyle w:val="NoSpacing"/>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Selection of the consultant or consulting firm to carry out the assignment will be based on the following:</w:t>
      </w:r>
    </w:p>
    <w:p w14:paraId="21632995" w14:textId="77777777" w:rsidR="007A136C" w:rsidRDefault="00DA724F" w:rsidP="007A136C">
      <w:pPr>
        <w:pStyle w:val="NoSpacing"/>
        <w:numPr>
          <w:ilvl w:val="0"/>
          <w:numId w:val="20"/>
        </w:numPr>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Proof of legal registration as a tax-compliant individual or company, authorized to operate in South Sudan or the region.</w:t>
      </w:r>
    </w:p>
    <w:p w14:paraId="2C3AFF51" w14:textId="77777777" w:rsidR="007A136C" w:rsidRDefault="00DA724F" w:rsidP="007A136C">
      <w:pPr>
        <w:pStyle w:val="NoSpacing"/>
        <w:numPr>
          <w:ilvl w:val="0"/>
          <w:numId w:val="20"/>
        </w:numPr>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Submission of a complete and technically sound proposal, including a detailed due diligence methodology, scope, approach, and realistic timelines for delivery.</w:t>
      </w:r>
    </w:p>
    <w:p w14:paraId="48D9BB36" w14:textId="77777777" w:rsidR="007A136C" w:rsidRDefault="00DA724F" w:rsidP="007A136C">
      <w:pPr>
        <w:pStyle w:val="NoSpacing"/>
        <w:numPr>
          <w:ilvl w:val="0"/>
          <w:numId w:val="20"/>
        </w:numPr>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Demonstrated experience in conducting ethical due diligence assessments within the financial services and/or telecommunications sectors, preferably in South Sudan or similar fragile and low-capacity contexts.</w:t>
      </w:r>
    </w:p>
    <w:p w14:paraId="5E7BBDD3" w14:textId="77777777" w:rsidR="007A136C" w:rsidRDefault="00DA724F" w:rsidP="007A136C">
      <w:pPr>
        <w:pStyle w:val="NoSpacing"/>
        <w:numPr>
          <w:ilvl w:val="0"/>
          <w:numId w:val="20"/>
        </w:numPr>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Proven understanding of financial inclusion, digital financial services, and market systems relevant to VSLAs and rural economies.</w:t>
      </w:r>
    </w:p>
    <w:p w14:paraId="6FBE0E4F" w14:textId="36405EA5" w:rsidR="00DA724F" w:rsidRPr="007A136C" w:rsidRDefault="00DA724F" w:rsidP="007A136C">
      <w:pPr>
        <w:pStyle w:val="NoSpacing"/>
        <w:numPr>
          <w:ilvl w:val="0"/>
          <w:numId w:val="20"/>
        </w:numPr>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Capacity to deliver high-quality outputs within agreed timelines and ability to effectively coordinate with GOAL’s THRIVE Project team and relevant stakeholders.</w:t>
      </w:r>
    </w:p>
    <w:p w14:paraId="449AA25D" w14:textId="77777777" w:rsidR="007A136C" w:rsidRDefault="007A136C" w:rsidP="007A136C">
      <w:pPr>
        <w:pStyle w:val="NoSpacing"/>
        <w:spacing w:before="0" w:line="276" w:lineRule="auto"/>
        <w:jc w:val="both"/>
        <w:rPr>
          <w:rFonts w:eastAsiaTheme="minorHAnsi" w:cstheme="minorHAnsi"/>
          <w:b/>
          <w:color w:val="087838"/>
          <w:sz w:val="26"/>
          <w:szCs w:val="26"/>
        </w:rPr>
      </w:pPr>
      <w:bookmarkStart w:id="6" w:name="_Toc232423946"/>
      <w:bookmarkEnd w:id="5"/>
    </w:p>
    <w:p w14:paraId="076FDDF7" w14:textId="753D1D51" w:rsidR="00484117" w:rsidRPr="007A136C" w:rsidRDefault="00DA724F" w:rsidP="007A136C">
      <w:pPr>
        <w:pStyle w:val="NoSpacing"/>
        <w:spacing w:before="0" w:line="276" w:lineRule="auto"/>
        <w:jc w:val="both"/>
        <w:rPr>
          <w:rFonts w:eastAsiaTheme="minorHAnsi" w:cstheme="minorHAnsi"/>
          <w:b/>
          <w:color w:val="087838"/>
          <w:sz w:val="26"/>
          <w:szCs w:val="26"/>
        </w:rPr>
      </w:pPr>
      <w:r w:rsidRPr="007A136C">
        <w:rPr>
          <w:rFonts w:eastAsiaTheme="minorHAnsi" w:cstheme="minorHAnsi"/>
          <w:b/>
          <w:color w:val="087838"/>
          <w:sz w:val="26"/>
          <w:szCs w:val="26"/>
        </w:rPr>
        <w:t>Duration of the Ethical Due Diligence Assignment</w:t>
      </w:r>
    </w:p>
    <w:p w14:paraId="1C8C9B9C" w14:textId="1C739602" w:rsidR="00957679" w:rsidRDefault="00DA724F" w:rsidP="00957679">
      <w:pPr>
        <w:pStyle w:val="NoSpacing"/>
        <w:spacing w:before="0" w:line="276"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 xml:space="preserve">The assignment is expected to be conducted within thirty (30) working days from the date of signing the offer. It is expected that the commencement will be by </w:t>
      </w:r>
      <w:r w:rsidR="00A15AE4">
        <w:rPr>
          <w:rFonts w:asciiTheme="majorHAnsi" w:eastAsia="Times New Roman" w:hAnsiTheme="majorHAnsi" w:cs="Calibri"/>
          <w:sz w:val="22"/>
          <w:szCs w:val="22"/>
        </w:rPr>
        <w:t>02</w:t>
      </w:r>
      <w:proofErr w:type="gramStart"/>
      <w:r w:rsidR="00A15AE4" w:rsidRPr="00A15AE4">
        <w:rPr>
          <w:rFonts w:asciiTheme="majorHAnsi" w:eastAsia="Times New Roman" w:hAnsiTheme="majorHAnsi" w:cs="Calibri"/>
          <w:sz w:val="22"/>
          <w:szCs w:val="22"/>
          <w:vertAlign w:val="superscript"/>
        </w:rPr>
        <w:t>nd</w:t>
      </w:r>
      <w:r w:rsidR="00A15AE4">
        <w:rPr>
          <w:rFonts w:asciiTheme="majorHAnsi" w:eastAsia="Times New Roman" w:hAnsiTheme="majorHAnsi" w:cs="Calibri"/>
          <w:sz w:val="22"/>
          <w:szCs w:val="22"/>
        </w:rPr>
        <w:t xml:space="preserve"> </w:t>
      </w:r>
      <w:r w:rsidRPr="007A136C">
        <w:rPr>
          <w:rFonts w:asciiTheme="majorHAnsi" w:eastAsia="Times New Roman" w:hAnsiTheme="majorHAnsi" w:cs="Calibri"/>
          <w:sz w:val="22"/>
          <w:szCs w:val="22"/>
        </w:rPr>
        <w:t xml:space="preserve"> </w:t>
      </w:r>
      <w:r w:rsidR="00A15AE4">
        <w:rPr>
          <w:rFonts w:asciiTheme="majorHAnsi" w:eastAsia="Times New Roman" w:hAnsiTheme="majorHAnsi" w:cs="Calibri"/>
          <w:sz w:val="22"/>
          <w:szCs w:val="22"/>
        </w:rPr>
        <w:t>August</w:t>
      </w:r>
      <w:proofErr w:type="gramEnd"/>
      <w:r w:rsidR="00A15AE4">
        <w:rPr>
          <w:rFonts w:asciiTheme="majorHAnsi" w:eastAsia="Times New Roman" w:hAnsiTheme="majorHAnsi" w:cs="Calibri"/>
          <w:sz w:val="22"/>
          <w:szCs w:val="22"/>
        </w:rPr>
        <w:t xml:space="preserve"> </w:t>
      </w:r>
      <w:r w:rsidRPr="007A136C">
        <w:rPr>
          <w:rFonts w:asciiTheme="majorHAnsi" w:eastAsia="Times New Roman" w:hAnsiTheme="majorHAnsi" w:cs="Calibri"/>
          <w:sz w:val="22"/>
          <w:szCs w:val="22"/>
        </w:rPr>
        <w:t xml:space="preserve"> 2026.</w:t>
      </w:r>
    </w:p>
    <w:p w14:paraId="31CC9B6E" w14:textId="77777777" w:rsidR="007A136C" w:rsidRPr="007A136C" w:rsidRDefault="007A136C" w:rsidP="00957679">
      <w:pPr>
        <w:pStyle w:val="NoSpacing"/>
        <w:spacing w:before="0" w:line="276" w:lineRule="auto"/>
        <w:jc w:val="both"/>
        <w:rPr>
          <w:rFonts w:asciiTheme="majorHAnsi" w:eastAsia="Times New Roman" w:hAnsiTheme="majorHAnsi" w:cs="Calibri"/>
          <w:sz w:val="22"/>
          <w:szCs w:val="22"/>
        </w:rPr>
      </w:pPr>
    </w:p>
    <w:p w14:paraId="56250AAD" w14:textId="43CCA2C1" w:rsidR="00957679" w:rsidRPr="00957679" w:rsidRDefault="00957679" w:rsidP="00957679">
      <w:pPr>
        <w:pStyle w:val="NoSpacing"/>
        <w:spacing w:before="0" w:line="276" w:lineRule="auto"/>
        <w:jc w:val="both"/>
        <w:rPr>
          <w:rFonts w:ascii="Calibri" w:hAnsi="Calibri" w:cs="Calibri"/>
          <w:b/>
          <w:color w:val="087838"/>
          <w:sz w:val="26"/>
          <w:szCs w:val="26"/>
        </w:rPr>
      </w:pPr>
      <w:r w:rsidRPr="00957679">
        <w:rPr>
          <w:rFonts w:ascii="Calibri" w:hAnsi="Calibri" w:cs="Calibri"/>
          <w:b/>
          <w:color w:val="087838"/>
          <w:sz w:val="26"/>
          <w:szCs w:val="26"/>
        </w:rPr>
        <w:t xml:space="preserve">Payment Terms </w:t>
      </w:r>
    </w:p>
    <w:p w14:paraId="032F5BFE" w14:textId="15D8C3D9" w:rsidR="00DA724F" w:rsidRDefault="00957679" w:rsidP="007A136C">
      <w:pPr>
        <w:spacing w:after="0" w:line="240" w:lineRule="auto"/>
        <w:jc w:val="both"/>
        <w:rPr>
          <w:rFonts w:asciiTheme="majorHAnsi" w:eastAsia="Times New Roman" w:hAnsiTheme="majorHAnsi" w:cs="Calibri"/>
          <w:sz w:val="22"/>
          <w:szCs w:val="22"/>
        </w:rPr>
      </w:pPr>
      <w:r w:rsidRPr="007A136C">
        <w:rPr>
          <w:rFonts w:asciiTheme="majorHAnsi" w:eastAsia="Times New Roman" w:hAnsiTheme="majorHAnsi" w:cs="Calibri"/>
          <w:sz w:val="22"/>
          <w:szCs w:val="22"/>
        </w:rPr>
        <w:t>Payments will be made within 30 days upon delivery of the due diligence reports and sign off by the GOAL Country Director (or delegate) that the work has been satisfactorily completed, Invoice must be submitted by the organization to claim payment.</w:t>
      </w:r>
    </w:p>
    <w:p w14:paraId="5D7C95AE" w14:textId="77777777" w:rsidR="007A136C" w:rsidRPr="007A136C" w:rsidRDefault="007A136C" w:rsidP="007A136C">
      <w:pPr>
        <w:spacing w:after="0" w:line="240" w:lineRule="auto"/>
        <w:jc w:val="both"/>
        <w:rPr>
          <w:rFonts w:asciiTheme="majorHAnsi" w:eastAsia="Times New Roman" w:hAnsiTheme="majorHAnsi" w:cs="Calibri"/>
          <w:sz w:val="22"/>
          <w:szCs w:val="22"/>
        </w:rPr>
      </w:pPr>
    </w:p>
    <w:p w14:paraId="0C1462A3" w14:textId="4688C163" w:rsidR="004D7B00" w:rsidRPr="007A136C" w:rsidRDefault="00484117" w:rsidP="007A136C">
      <w:pPr>
        <w:pStyle w:val="NoSpacing"/>
        <w:spacing w:before="0" w:line="276" w:lineRule="auto"/>
        <w:jc w:val="both"/>
        <w:rPr>
          <w:rFonts w:eastAsiaTheme="minorHAnsi" w:cstheme="minorHAnsi"/>
          <w:b/>
          <w:color w:val="087838"/>
          <w:sz w:val="26"/>
          <w:szCs w:val="26"/>
        </w:rPr>
      </w:pPr>
      <w:r w:rsidRPr="007A136C">
        <w:rPr>
          <w:rFonts w:eastAsiaTheme="minorHAnsi" w:cstheme="minorHAnsi"/>
          <w:b/>
          <w:color w:val="087838"/>
          <w:sz w:val="26"/>
          <w:szCs w:val="26"/>
        </w:rPr>
        <w:t>Sub</w:t>
      </w:r>
      <w:r w:rsidR="004D7B00" w:rsidRPr="007A136C">
        <w:rPr>
          <w:rFonts w:eastAsiaTheme="minorHAnsi" w:cstheme="minorHAnsi"/>
          <w:b/>
          <w:color w:val="087838"/>
          <w:sz w:val="26"/>
          <w:szCs w:val="26"/>
        </w:rPr>
        <w:t>mission of technical and financial proposals.</w:t>
      </w:r>
      <w:bookmarkEnd w:id="6"/>
      <w:r w:rsidR="004D7B00" w:rsidRPr="007A136C">
        <w:rPr>
          <w:rFonts w:eastAsiaTheme="minorHAnsi" w:cstheme="minorHAnsi"/>
          <w:b/>
          <w:color w:val="087838"/>
          <w:sz w:val="26"/>
          <w:szCs w:val="26"/>
        </w:rPr>
        <w:t xml:space="preserve"> </w:t>
      </w:r>
    </w:p>
    <w:p w14:paraId="0518AF3B" w14:textId="054920F6" w:rsidR="004D7B00" w:rsidRPr="007A136C" w:rsidRDefault="004D7B00" w:rsidP="007A136C">
      <w:pPr>
        <w:numPr>
          <w:ilvl w:val="0"/>
          <w:numId w:val="7"/>
        </w:numPr>
        <w:contextualSpacing/>
        <w:jc w:val="both"/>
        <w:rPr>
          <w:rFonts w:asciiTheme="majorHAnsi" w:eastAsiaTheme="minorHAnsi" w:hAnsiTheme="majorHAnsi" w:cs="Calibri"/>
          <w:sz w:val="22"/>
          <w:szCs w:val="22"/>
          <w:lang w:val="en-GB" w:eastAsia="en-US"/>
        </w:rPr>
      </w:pPr>
      <w:r w:rsidRPr="007A136C">
        <w:rPr>
          <w:rFonts w:asciiTheme="majorHAnsi" w:eastAsiaTheme="minorHAnsi" w:hAnsiTheme="majorHAnsi" w:cs="Calibri"/>
          <w:sz w:val="22"/>
          <w:szCs w:val="22"/>
          <w:lang w:val="en-GB" w:eastAsia="en-US"/>
        </w:rPr>
        <w:t xml:space="preserve">Interested persons are invited to submit a written proposal to GOAL to provide the abovementioned consultancy services, subject to the following requirements and conditions. </w:t>
      </w:r>
    </w:p>
    <w:p w14:paraId="1F071DC3" w14:textId="77777777" w:rsidR="004D7B00" w:rsidRPr="007A136C" w:rsidRDefault="004D7B00" w:rsidP="00A137F1">
      <w:pPr>
        <w:numPr>
          <w:ilvl w:val="0"/>
          <w:numId w:val="7"/>
        </w:numPr>
        <w:contextualSpacing/>
        <w:jc w:val="both"/>
        <w:rPr>
          <w:rFonts w:asciiTheme="majorHAnsi" w:eastAsiaTheme="minorHAnsi" w:hAnsiTheme="majorHAnsi" w:cs="Calibri"/>
          <w:sz w:val="22"/>
          <w:szCs w:val="22"/>
          <w:lang w:val="en-GB" w:eastAsia="en-US"/>
        </w:rPr>
      </w:pPr>
      <w:r w:rsidRPr="007A136C">
        <w:rPr>
          <w:rFonts w:asciiTheme="majorHAnsi" w:eastAsiaTheme="minorHAnsi" w:hAnsiTheme="majorHAnsi" w:cs="Calibri"/>
          <w:sz w:val="22"/>
          <w:szCs w:val="22"/>
          <w:lang w:val="en-GB" w:eastAsia="en-US"/>
        </w:rPr>
        <w:t xml:space="preserve">The technical proposal should clearly outline the relevant background and key competencies as outlined above, including brief descriptions of the consultant's recent consultancy experience and services for similar assignments. </w:t>
      </w:r>
    </w:p>
    <w:p w14:paraId="6F0D8593" w14:textId="77777777" w:rsidR="004D7B00" w:rsidRPr="007A136C" w:rsidRDefault="004D7B00" w:rsidP="00A137F1">
      <w:pPr>
        <w:numPr>
          <w:ilvl w:val="0"/>
          <w:numId w:val="7"/>
        </w:numPr>
        <w:contextualSpacing/>
        <w:jc w:val="both"/>
        <w:rPr>
          <w:rFonts w:asciiTheme="majorHAnsi" w:eastAsiaTheme="minorHAnsi" w:hAnsiTheme="majorHAnsi" w:cs="Calibri"/>
          <w:sz w:val="22"/>
          <w:szCs w:val="22"/>
          <w:lang w:val="en-GB" w:eastAsia="en-US"/>
        </w:rPr>
      </w:pPr>
      <w:r w:rsidRPr="007A136C">
        <w:rPr>
          <w:rFonts w:asciiTheme="majorHAnsi" w:eastAsiaTheme="minorHAnsi" w:hAnsiTheme="majorHAnsi" w:cs="Calibri"/>
          <w:sz w:val="22"/>
          <w:szCs w:val="22"/>
          <w:lang w:val="en-GB" w:eastAsia="en-US"/>
        </w:rPr>
        <w:t xml:space="preserve">Curriculum vitae of the specific individual(s) to be assigned to undertake the work and other individuals who would be involved in the assignment. </w:t>
      </w:r>
    </w:p>
    <w:p w14:paraId="79094C11" w14:textId="42B3F77B" w:rsidR="00484117" w:rsidRPr="007A136C" w:rsidRDefault="004D7B00" w:rsidP="00D94D51">
      <w:pPr>
        <w:numPr>
          <w:ilvl w:val="0"/>
          <w:numId w:val="7"/>
        </w:numPr>
        <w:contextualSpacing/>
        <w:jc w:val="both"/>
        <w:rPr>
          <w:rFonts w:asciiTheme="majorHAnsi" w:eastAsiaTheme="minorHAnsi" w:hAnsiTheme="majorHAnsi" w:cs="Calibri"/>
          <w:sz w:val="22"/>
          <w:szCs w:val="22"/>
          <w:lang w:val="en-GB" w:eastAsia="en-US"/>
        </w:rPr>
      </w:pPr>
      <w:r w:rsidRPr="007A136C">
        <w:rPr>
          <w:rFonts w:asciiTheme="majorHAnsi" w:eastAsiaTheme="minorHAnsi" w:hAnsiTheme="majorHAnsi" w:cs="Calibri"/>
          <w:sz w:val="22"/>
          <w:szCs w:val="22"/>
          <w:lang w:val="en-GB" w:eastAsia="en-US"/>
        </w:rPr>
        <w:t xml:space="preserve">The technical proposal should specify the contact person and their contact details for all future communications regarding these terms of reference and the delivery of the consultancy services. </w:t>
      </w:r>
      <w:bookmarkStart w:id="7" w:name="_Toc232423947"/>
    </w:p>
    <w:bookmarkEnd w:id="7"/>
    <w:p w14:paraId="01279B2F" w14:textId="561CF0A1" w:rsidR="004D7B00" w:rsidRPr="007A136C" w:rsidRDefault="00957679" w:rsidP="007A136C">
      <w:pPr>
        <w:pStyle w:val="NoSpacing"/>
        <w:spacing w:before="0" w:line="276" w:lineRule="auto"/>
        <w:jc w:val="both"/>
        <w:rPr>
          <w:rFonts w:ascii="Calibri" w:hAnsi="Calibri" w:cs="Calibri"/>
          <w:b/>
          <w:color w:val="087838"/>
          <w:sz w:val="26"/>
          <w:szCs w:val="26"/>
        </w:rPr>
      </w:pPr>
      <w:r w:rsidRPr="007A136C">
        <w:rPr>
          <w:rFonts w:ascii="Calibri" w:hAnsi="Calibri" w:cs="Calibri"/>
          <w:b/>
          <w:color w:val="087838"/>
          <w:sz w:val="26"/>
          <w:szCs w:val="26"/>
        </w:rPr>
        <w:t>Bidding requirements</w:t>
      </w:r>
    </w:p>
    <w:p w14:paraId="371FE813" w14:textId="77777777" w:rsidR="00957679" w:rsidRDefault="00957679" w:rsidP="007A136C">
      <w:pPr>
        <w:pStyle w:val="NoSpacing"/>
        <w:spacing w:before="0" w:line="276" w:lineRule="auto"/>
        <w:jc w:val="both"/>
        <w:rPr>
          <w:rFonts w:asciiTheme="majorHAnsi" w:eastAsiaTheme="minorHAnsi" w:hAnsiTheme="majorHAnsi" w:cs="Calibri"/>
          <w:sz w:val="22"/>
          <w:szCs w:val="22"/>
        </w:rPr>
      </w:pPr>
      <w:r w:rsidRPr="007A136C">
        <w:rPr>
          <w:rFonts w:asciiTheme="majorHAnsi" w:eastAsiaTheme="minorHAnsi" w:hAnsiTheme="majorHAnsi" w:cs="Calibri"/>
          <w:sz w:val="22"/>
          <w:szCs w:val="22"/>
        </w:rPr>
        <w:lastRenderedPageBreak/>
        <w:t xml:space="preserve">GOAL invites qualified consultants or consulting firms to provide </w:t>
      </w:r>
      <w:r w:rsidRPr="007A136C">
        <w:rPr>
          <w:rFonts w:asciiTheme="majorHAnsi" w:eastAsiaTheme="minorHAnsi" w:hAnsiTheme="majorHAnsi" w:cs="Calibri"/>
          <w:b/>
          <w:bCs/>
          <w:sz w:val="22"/>
          <w:szCs w:val="22"/>
        </w:rPr>
        <w:t>Ethical Due Diligence Services</w:t>
      </w:r>
      <w:r w:rsidRPr="007A136C">
        <w:rPr>
          <w:rFonts w:asciiTheme="majorHAnsi" w:eastAsiaTheme="minorHAnsi" w:hAnsiTheme="majorHAnsi" w:cs="Calibri"/>
          <w:sz w:val="22"/>
          <w:szCs w:val="22"/>
        </w:rPr>
        <w:t xml:space="preserve"> for the </w:t>
      </w:r>
      <w:r w:rsidRPr="007A136C">
        <w:rPr>
          <w:rFonts w:asciiTheme="majorHAnsi" w:eastAsiaTheme="minorHAnsi" w:hAnsiTheme="majorHAnsi" w:cs="Calibri"/>
          <w:b/>
          <w:bCs/>
          <w:sz w:val="22"/>
          <w:szCs w:val="22"/>
        </w:rPr>
        <w:t>Cooperative Bank of South Sudan, Alpha Commercial Bank, and MTN South Sudan</w:t>
      </w:r>
      <w:r w:rsidRPr="007A136C">
        <w:rPr>
          <w:rFonts w:asciiTheme="majorHAnsi" w:eastAsiaTheme="minorHAnsi" w:hAnsiTheme="majorHAnsi" w:cs="Calibri"/>
          <w:sz w:val="22"/>
          <w:szCs w:val="22"/>
        </w:rPr>
        <w:t>. Interested applicants are requested to submit the following:</w:t>
      </w:r>
    </w:p>
    <w:p w14:paraId="6407CC18" w14:textId="77777777" w:rsidR="007A136C" w:rsidRPr="007A136C" w:rsidRDefault="007A136C" w:rsidP="007A136C">
      <w:pPr>
        <w:pStyle w:val="NoSpacing"/>
        <w:spacing w:before="0" w:line="276" w:lineRule="auto"/>
        <w:jc w:val="both"/>
        <w:rPr>
          <w:rFonts w:asciiTheme="majorHAnsi" w:eastAsiaTheme="minorHAnsi" w:hAnsiTheme="majorHAnsi" w:cs="Calibri"/>
          <w:sz w:val="22"/>
          <w:szCs w:val="22"/>
        </w:rPr>
      </w:pPr>
    </w:p>
    <w:tbl>
      <w:tblPr>
        <w:tblStyle w:val="TableGrid1"/>
        <w:tblW w:w="0" w:type="auto"/>
        <w:tblLook w:val="04A0" w:firstRow="1" w:lastRow="0" w:firstColumn="1" w:lastColumn="0" w:noHBand="0" w:noVBand="1"/>
      </w:tblPr>
      <w:tblGrid>
        <w:gridCol w:w="7825"/>
        <w:gridCol w:w="1191"/>
      </w:tblGrid>
      <w:tr w:rsidR="00957679" w:rsidRPr="007A136C" w14:paraId="40BFC669" w14:textId="77777777" w:rsidTr="00041ADE">
        <w:tc>
          <w:tcPr>
            <w:tcW w:w="7825" w:type="dxa"/>
            <w:shd w:val="clear" w:color="auto" w:fill="808080" w:themeFill="text1" w:themeFillTint="7F"/>
          </w:tcPr>
          <w:p w14:paraId="08B0983B" w14:textId="77777777" w:rsidR="00957679" w:rsidRPr="007A136C" w:rsidRDefault="00957679" w:rsidP="00041ADE">
            <w:pPr>
              <w:spacing w:line="276" w:lineRule="auto"/>
              <w:jc w:val="both"/>
              <w:rPr>
                <w:rFonts w:ascii="Calibri" w:hAnsi="Calibri" w:cs="Calibri"/>
                <w:b/>
                <w:color w:val="FFFFFF" w:themeColor="background1"/>
                <w:sz w:val="20"/>
                <w:szCs w:val="20"/>
              </w:rPr>
            </w:pPr>
            <w:r w:rsidRPr="007A136C">
              <w:rPr>
                <w:rFonts w:ascii="Calibri" w:hAnsi="Calibri" w:cs="Calibri"/>
                <w:b/>
                <w:color w:val="FFFFFF" w:themeColor="background1"/>
                <w:sz w:val="20"/>
                <w:szCs w:val="20"/>
              </w:rPr>
              <w:t>Criteria</w:t>
            </w:r>
          </w:p>
        </w:tc>
        <w:tc>
          <w:tcPr>
            <w:tcW w:w="1191" w:type="dxa"/>
            <w:shd w:val="clear" w:color="auto" w:fill="808080" w:themeFill="text1" w:themeFillTint="7F"/>
          </w:tcPr>
          <w:p w14:paraId="79CCCC1F" w14:textId="77777777" w:rsidR="00957679" w:rsidRPr="007A136C" w:rsidRDefault="00957679" w:rsidP="00041ADE">
            <w:pPr>
              <w:spacing w:line="276" w:lineRule="auto"/>
              <w:jc w:val="center"/>
              <w:rPr>
                <w:rFonts w:ascii="Calibri" w:hAnsi="Calibri" w:cs="Calibri"/>
                <w:b/>
                <w:color w:val="FFFFFF" w:themeColor="background1"/>
                <w:sz w:val="20"/>
                <w:szCs w:val="20"/>
              </w:rPr>
            </w:pPr>
            <w:r w:rsidRPr="007A136C">
              <w:rPr>
                <w:rFonts w:ascii="Calibri" w:hAnsi="Calibri" w:cs="Calibri"/>
                <w:b/>
                <w:color w:val="FFFFFF" w:themeColor="background1"/>
                <w:sz w:val="20"/>
                <w:szCs w:val="20"/>
              </w:rPr>
              <w:t>Weight</w:t>
            </w:r>
          </w:p>
        </w:tc>
      </w:tr>
      <w:tr w:rsidR="00050B55" w:rsidRPr="007A136C" w14:paraId="7FD8CCE5" w14:textId="77777777" w:rsidTr="00050B55">
        <w:tc>
          <w:tcPr>
            <w:tcW w:w="7825" w:type="dxa"/>
            <w:shd w:val="clear" w:color="auto" w:fill="D9F2D0" w:themeFill="accent6" w:themeFillTint="33"/>
          </w:tcPr>
          <w:p w14:paraId="4F4D9F14" w14:textId="11E59D54" w:rsidR="00050B55" w:rsidRPr="00105018" w:rsidRDefault="00010EAE" w:rsidP="00105018">
            <w:pPr>
              <w:pStyle w:val="ListParagraph"/>
              <w:numPr>
                <w:ilvl w:val="0"/>
                <w:numId w:val="25"/>
              </w:numPr>
              <w:spacing w:line="276" w:lineRule="auto"/>
              <w:rPr>
                <w:rFonts w:ascii="Calibri" w:hAnsi="Calibri" w:cs="Calibri"/>
                <w:b/>
                <w:color w:val="FFFFFF" w:themeColor="background1"/>
                <w:sz w:val="20"/>
                <w:szCs w:val="20"/>
              </w:rPr>
            </w:pPr>
            <w:r w:rsidRPr="00105018">
              <w:rPr>
                <w:rFonts w:ascii="Calibri" w:hAnsi="Calibri" w:cs="Calibri"/>
                <w:b/>
                <w:color w:val="000000" w:themeColor="text1"/>
                <w:sz w:val="20"/>
                <w:szCs w:val="20"/>
              </w:rPr>
              <w:t>Quality</w:t>
            </w:r>
          </w:p>
        </w:tc>
        <w:tc>
          <w:tcPr>
            <w:tcW w:w="1191" w:type="dxa"/>
            <w:shd w:val="clear" w:color="auto" w:fill="D9F2D0" w:themeFill="accent6" w:themeFillTint="33"/>
          </w:tcPr>
          <w:p w14:paraId="6FDCACA9" w14:textId="1CDF61F0" w:rsidR="00050B55" w:rsidRPr="007A136C" w:rsidRDefault="00010EAE" w:rsidP="00041ADE">
            <w:pPr>
              <w:spacing w:line="276" w:lineRule="auto"/>
              <w:jc w:val="center"/>
              <w:rPr>
                <w:rFonts w:ascii="Calibri" w:hAnsi="Calibri" w:cs="Calibri"/>
                <w:b/>
                <w:color w:val="FFFFFF" w:themeColor="background1"/>
                <w:sz w:val="20"/>
                <w:szCs w:val="20"/>
              </w:rPr>
            </w:pPr>
            <w:r w:rsidRPr="00010EAE">
              <w:rPr>
                <w:rFonts w:ascii="Calibri" w:hAnsi="Calibri" w:cs="Calibri"/>
                <w:b/>
                <w:color w:val="000000" w:themeColor="text1"/>
                <w:sz w:val="20"/>
                <w:szCs w:val="20"/>
              </w:rPr>
              <w:t>55%</w:t>
            </w:r>
          </w:p>
        </w:tc>
      </w:tr>
      <w:tr w:rsidR="00957679" w:rsidRPr="007A136C" w14:paraId="07D58B5F" w14:textId="77777777" w:rsidTr="00041ADE">
        <w:tc>
          <w:tcPr>
            <w:tcW w:w="7825" w:type="dxa"/>
          </w:tcPr>
          <w:p w14:paraId="182B7B72" w14:textId="327EE079" w:rsidR="00957679" w:rsidRPr="00A33F21" w:rsidRDefault="00105018" w:rsidP="00A33F21">
            <w:pPr>
              <w:pStyle w:val="ListParagraph"/>
              <w:numPr>
                <w:ilvl w:val="1"/>
                <w:numId w:val="23"/>
              </w:numPr>
              <w:jc w:val="both"/>
              <w:rPr>
                <w:rFonts w:ascii="Calibri" w:hAnsi="Calibri" w:cs="Calibri"/>
                <w:sz w:val="20"/>
                <w:szCs w:val="20"/>
              </w:rPr>
            </w:pPr>
            <w:r>
              <w:rPr>
                <w:rFonts w:ascii="Calibri" w:hAnsi="Calibri" w:cs="Calibri"/>
                <w:sz w:val="20"/>
                <w:szCs w:val="20"/>
              </w:rPr>
              <w:t xml:space="preserve">. </w:t>
            </w:r>
            <w:r w:rsidR="00957679" w:rsidRPr="00A33F21">
              <w:rPr>
                <w:rFonts w:ascii="Calibri" w:hAnsi="Calibri" w:cs="Calibri"/>
                <w:sz w:val="20"/>
                <w:szCs w:val="20"/>
              </w:rPr>
              <w:t>Submission of a complete proposal with a proposed Due diligence plan – what the due diligence report will include and how it will be carried out, with timelines. (Not more than 5 pages)</w:t>
            </w:r>
          </w:p>
          <w:p w14:paraId="030F2369" w14:textId="48764338" w:rsidR="00957679" w:rsidRPr="00A33F21" w:rsidRDefault="00A33F21" w:rsidP="00A33F21">
            <w:pPr>
              <w:jc w:val="both"/>
              <w:rPr>
                <w:rFonts w:ascii="Calibri" w:hAnsi="Calibri" w:cs="Calibri"/>
                <w:sz w:val="20"/>
                <w:szCs w:val="20"/>
              </w:rPr>
            </w:pPr>
            <w:r>
              <w:rPr>
                <w:rFonts w:ascii="Calibri" w:hAnsi="Calibri" w:cs="Calibri"/>
                <w:sz w:val="20"/>
                <w:szCs w:val="20"/>
              </w:rPr>
              <w:t>1.02</w:t>
            </w:r>
            <w:r w:rsidR="00105018">
              <w:rPr>
                <w:rFonts w:ascii="Calibri" w:hAnsi="Calibri" w:cs="Calibri"/>
                <w:sz w:val="20"/>
                <w:szCs w:val="20"/>
              </w:rPr>
              <w:t xml:space="preserve"> </w:t>
            </w:r>
            <w:r w:rsidR="00957679" w:rsidRPr="00A33F21">
              <w:rPr>
                <w:rFonts w:ascii="Calibri" w:hAnsi="Calibri" w:cs="Calibri"/>
                <w:sz w:val="20"/>
                <w:szCs w:val="20"/>
              </w:rPr>
              <w:t>Previous experience shown in conducting due diligence assignments within the banking sector in Uganda. (Not more than 2 pages)</w:t>
            </w:r>
          </w:p>
          <w:p w14:paraId="3A191233" w14:textId="02637AD8" w:rsidR="00957679" w:rsidRPr="007A136C" w:rsidRDefault="00957679" w:rsidP="00D94D51">
            <w:pPr>
              <w:pStyle w:val="ListParagraph"/>
              <w:ind w:left="360"/>
              <w:jc w:val="both"/>
              <w:rPr>
                <w:rFonts w:ascii="Calibri" w:hAnsi="Calibri" w:cs="Calibri"/>
                <w:sz w:val="20"/>
                <w:szCs w:val="20"/>
              </w:rPr>
            </w:pPr>
          </w:p>
        </w:tc>
        <w:tc>
          <w:tcPr>
            <w:tcW w:w="1191" w:type="dxa"/>
          </w:tcPr>
          <w:p w14:paraId="6EDBF867" w14:textId="5DFC2353" w:rsidR="00957679" w:rsidRPr="007A136C" w:rsidRDefault="00957679" w:rsidP="00041ADE">
            <w:pPr>
              <w:spacing w:line="276" w:lineRule="auto"/>
              <w:jc w:val="center"/>
              <w:rPr>
                <w:rFonts w:ascii="Calibri" w:hAnsi="Calibri" w:cs="Calibri"/>
                <w:sz w:val="20"/>
                <w:szCs w:val="20"/>
              </w:rPr>
            </w:pPr>
          </w:p>
        </w:tc>
      </w:tr>
      <w:tr w:rsidR="00957679" w:rsidRPr="007A136C" w14:paraId="1E882DBD" w14:textId="77777777" w:rsidTr="00041ADE">
        <w:tc>
          <w:tcPr>
            <w:tcW w:w="7825" w:type="dxa"/>
          </w:tcPr>
          <w:p w14:paraId="26506A0B" w14:textId="1B6BDAFB" w:rsidR="00957679" w:rsidRPr="00D45DD4" w:rsidRDefault="002217F9" w:rsidP="00D45DD4">
            <w:pPr>
              <w:spacing w:line="276" w:lineRule="auto"/>
              <w:jc w:val="both"/>
              <w:rPr>
                <w:rFonts w:ascii="Calibri" w:hAnsi="Calibri" w:cs="Calibri"/>
                <w:sz w:val="20"/>
                <w:szCs w:val="20"/>
              </w:rPr>
            </w:pPr>
            <w:r>
              <w:rPr>
                <w:rFonts w:ascii="Calibri" w:hAnsi="Calibri" w:cs="Calibri"/>
                <w:sz w:val="20"/>
                <w:szCs w:val="20"/>
              </w:rPr>
              <w:t xml:space="preserve">1.03 </w:t>
            </w:r>
            <w:r w:rsidR="00957679" w:rsidRPr="00D45DD4">
              <w:rPr>
                <w:rFonts w:ascii="Calibri" w:hAnsi="Calibri" w:cs="Calibri"/>
                <w:sz w:val="20"/>
                <w:szCs w:val="20"/>
              </w:rPr>
              <w:t xml:space="preserve">CV(s) of consultants who will work directly on the consultancy </w:t>
            </w:r>
          </w:p>
        </w:tc>
        <w:tc>
          <w:tcPr>
            <w:tcW w:w="1191" w:type="dxa"/>
          </w:tcPr>
          <w:p w14:paraId="7600FA1D" w14:textId="2CE41A2B" w:rsidR="00957679" w:rsidRPr="007A136C" w:rsidRDefault="00957679" w:rsidP="00041ADE">
            <w:pPr>
              <w:spacing w:line="276" w:lineRule="auto"/>
              <w:jc w:val="center"/>
              <w:rPr>
                <w:rFonts w:ascii="Calibri" w:hAnsi="Calibri" w:cs="Calibri"/>
                <w:sz w:val="20"/>
                <w:szCs w:val="20"/>
              </w:rPr>
            </w:pPr>
          </w:p>
        </w:tc>
      </w:tr>
      <w:tr w:rsidR="00957679" w:rsidRPr="007A136C" w14:paraId="5833AB4B" w14:textId="77777777" w:rsidTr="00041ADE">
        <w:tc>
          <w:tcPr>
            <w:tcW w:w="7825" w:type="dxa"/>
          </w:tcPr>
          <w:p w14:paraId="694F613B" w14:textId="7100D1D4" w:rsidR="00957679" w:rsidRPr="00105018" w:rsidRDefault="004C478D" w:rsidP="00105018">
            <w:pPr>
              <w:pStyle w:val="ListParagraph"/>
              <w:numPr>
                <w:ilvl w:val="1"/>
                <w:numId w:val="24"/>
              </w:numPr>
              <w:spacing w:line="276" w:lineRule="auto"/>
              <w:jc w:val="both"/>
              <w:rPr>
                <w:rFonts w:ascii="Calibri" w:hAnsi="Calibri" w:cs="Calibri"/>
                <w:sz w:val="20"/>
                <w:szCs w:val="20"/>
              </w:rPr>
            </w:pPr>
            <w:r>
              <w:rPr>
                <w:rFonts w:ascii="Calibri" w:hAnsi="Calibri" w:cs="Calibri"/>
                <w:sz w:val="20"/>
                <w:szCs w:val="20"/>
              </w:rPr>
              <w:t xml:space="preserve"> T</w:t>
            </w:r>
            <w:r w:rsidR="00FD65AE" w:rsidRPr="00105018">
              <w:rPr>
                <w:rFonts w:ascii="Calibri" w:hAnsi="Calibri" w:cs="Calibri"/>
                <w:sz w:val="20"/>
                <w:szCs w:val="20"/>
              </w:rPr>
              <w:t>wo (2) references for similar service (</w:t>
            </w:r>
            <w:r w:rsidR="00FD65AE" w:rsidRPr="00105018">
              <w:rPr>
                <w:rFonts w:ascii="Calibri" w:hAnsi="Calibri" w:cs="Calibri"/>
                <w:sz w:val="20"/>
                <w:szCs w:val="20"/>
              </w:rPr>
              <w:t>consultancy</w:t>
            </w:r>
            <w:r w:rsidR="00FD65AE" w:rsidRPr="00105018">
              <w:rPr>
                <w:rFonts w:ascii="Calibri" w:hAnsi="Calibri" w:cs="Calibri"/>
                <w:sz w:val="20"/>
                <w:szCs w:val="20"/>
              </w:rPr>
              <w:t>)</w:t>
            </w:r>
          </w:p>
        </w:tc>
        <w:tc>
          <w:tcPr>
            <w:tcW w:w="1191" w:type="dxa"/>
          </w:tcPr>
          <w:p w14:paraId="25520FC4" w14:textId="45CCB67E" w:rsidR="00957679" w:rsidRPr="007A136C" w:rsidRDefault="00957679" w:rsidP="00041ADE">
            <w:pPr>
              <w:spacing w:line="276" w:lineRule="auto"/>
              <w:jc w:val="center"/>
              <w:rPr>
                <w:rFonts w:ascii="Calibri" w:hAnsi="Calibri" w:cs="Calibri"/>
                <w:sz w:val="20"/>
                <w:szCs w:val="20"/>
              </w:rPr>
            </w:pPr>
          </w:p>
        </w:tc>
      </w:tr>
      <w:tr w:rsidR="00010EAE" w:rsidRPr="007A136C" w14:paraId="5B4996A8" w14:textId="77777777" w:rsidTr="00041ADE">
        <w:tc>
          <w:tcPr>
            <w:tcW w:w="7825" w:type="dxa"/>
          </w:tcPr>
          <w:p w14:paraId="7BB33DB4" w14:textId="6F8B585A" w:rsidR="00010EAE" w:rsidRPr="00105018" w:rsidRDefault="00010EAE" w:rsidP="00105018">
            <w:pPr>
              <w:pStyle w:val="ListParagraph"/>
              <w:numPr>
                <w:ilvl w:val="0"/>
                <w:numId w:val="22"/>
              </w:numPr>
              <w:spacing w:line="276" w:lineRule="auto"/>
              <w:rPr>
                <w:rFonts w:ascii="Calibri" w:hAnsi="Calibri" w:cs="Calibri"/>
                <w:b/>
                <w:bCs/>
                <w:color w:val="000000" w:themeColor="text1"/>
                <w:sz w:val="20"/>
                <w:szCs w:val="20"/>
              </w:rPr>
            </w:pPr>
            <w:r w:rsidRPr="00105018">
              <w:rPr>
                <w:rFonts w:ascii="Calibri" w:hAnsi="Calibri" w:cs="Calibri"/>
                <w:b/>
                <w:bCs/>
                <w:color w:val="000000" w:themeColor="text1"/>
                <w:sz w:val="20"/>
                <w:szCs w:val="20"/>
              </w:rPr>
              <w:t>Delivery Leadtime</w:t>
            </w:r>
          </w:p>
        </w:tc>
        <w:tc>
          <w:tcPr>
            <w:tcW w:w="1191" w:type="dxa"/>
          </w:tcPr>
          <w:p w14:paraId="26530DEA" w14:textId="2D87AC83" w:rsidR="00010EAE" w:rsidRPr="00105018" w:rsidRDefault="00D45DD4" w:rsidP="00041ADE">
            <w:pPr>
              <w:spacing w:line="276" w:lineRule="auto"/>
              <w:jc w:val="center"/>
              <w:rPr>
                <w:rFonts w:ascii="Calibri" w:hAnsi="Calibri" w:cs="Calibri"/>
                <w:b/>
                <w:bCs/>
                <w:sz w:val="20"/>
                <w:szCs w:val="20"/>
              </w:rPr>
            </w:pPr>
            <w:r w:rsidRPr="00105018">
              <w:rPr>
                <w:rFonts w:ascii="Calibri" w:hAnsi="Calibri" w:cs="Calibri"/>
                <w:b/>
                <w:bCs/>
                <w:sz w:val="20"/>
                <w:szCs w:val="20"/>
              </w:rPr>
              <w:t>10%</w:t>
            </w:r>
          </w:p>
        </w:tc>
      </w:tr>
      <w:tr w:rsidR="00957679" w:rsidRPr="007A136C" w14:paraId="1DAE0DCA" w14:textId="77777777" w:rsidTr="00041ADE">
        <w:tc>
          <w:tcPr>
            <w:tcW w:w="7825" w:type="dxa"/>
          </w:tcPr>
          <w:p w14:paraId="513F34F6" w14:textId="487313CD" w:rsidR="00957679" w:rsidRPr="00105018" w:rsidRDefault="00D45DD4" w:rsidP="00105018">
            <w:pPr>
              <w:pStyle w:val="ListParagraph"/>
              <w:numPr>
                <w:ilvl w:val="0"/>
                <w:numId w:val="22"/>
              </w:numPr>
              <w:spacing w:line="276" w:lineRule="auto"/>
              <w:rPr>
                <w:rFonts w:ascii="Calibri" w:hAnsi="Calibri" w:cs="Calibri"/>
                <w:b/>
                <w:bCs/>
                <w:sz w:val="20"/>
                <w:szCs w:val="20"/>
              </w:rPr>
            </w:pPr>
            <w:r w:rsidRPr="00105018">
              <w:rPr>
                <w:rFonts w:ascii="Calibri" w:hAnsi="Calibri" w:cs="Calibri"/>
                <w:b/>
                <w:bCs/>
                <w:sz w:val="20"/>
                <w:szCs w:val="20"/>
              </w:rPr>
              <w:t>Price</w:t>
            </w:r>
          </w:p>
        </w:tc>
        <w:tc>
          <w:tcPr>
            <w:tcW w:w="1191" w:type="dxa"/>
          </w:tcPr>
          <w:p w14:paraId="00DF9D9C" w14:textId="244B0EBE" w:rsidR="00957679" w:rsidRPr="00105018" w:rsidRDefault="00D45DD4" w:rsidP="00041ADE">
            <w:pPr>
              <w:spacing w:line="276" w:lineRule="auto"/>
              <w:jc w:val="center"/>
              <w:rPr>
                <w:rFonts w:ascii="Calibri" w:hAnsi="Calibri" w:cs="Calibri"/>
                <w:b/>
                <w:bCs/>
                <w:sz w:val="20"/>
                <w:szCs w:val="20"/>
              </w:rPr>
            </w:pPr>
            <w:r w:rsidRPr="00105018">
              <w:rPr>
                <w:rFonts w:ascii="Calibri" w:hAnsi="Calibri" w:cs="Calibri"/>
                <w:b/>
                <w:bCs/>
                <w:sz w:val="20"/>
                <w:szCs w:val="20"/>
              </w:rPr>
              <w:t>35%</w:t>
            </w:r>
          </w:p>
        </w:tc>
      </w:tr>
    </w:tbl>
    <w:p w14:paraId="658C6AF6" w14:textId="77777777" w:rsidR="00D94D51" w:rsidRDefault="00D94D51" w:rsidP="00957679">
      <w:pPr>
        <w:pStyle w:val="NoSpacing"/>
        <w:spacing w:before="0" w:line="276" w:lineRule="auto"/>
        <w:jc w:val="both"/>
        <w:rPr>
          <w:rFonts w:ascii="Calibri" w:hAnsi="Calibri" w:cs="Calibri"/>
          <w:b/>
          <w:color w:val="087838"/>
          <w:sz w:val="26"/>
          <w:szCs w:val="26"/>
        </w:rPr>
      </w:pPr>
    </w:p>
    <w:p w14:paraId="43B26273" w14:textId="0C63A3B7" w:rsidR="00957679" w:rsidRPr="00957679" w:rsidRDefault="00957679" w:rsidP="00957679">
      <w:pPr>
        <w:pStyle w:val="NoSpacing"/>
        <w:spacing w:before="0" w:line="276" w:lineRule="auto"/>
        <w:jc w:val="both"/>
        <w:rPr>
          <w:rFonts w:ascii="Calibri" w:hAnsi="Calibri" w:cs="Calibri"/>
          <w:b/>
          <w:color w:val="087838"/>
          <w:sz w:val="26"/>
          <w:szCs w:val="26"/>
        </w:rPr>
      </w:pPr>
      <w:r w:rsidRPr="00957679">
        <w:rPr>
          <w:rFonts w:ascii="Calibri" w:hAnsi="Calibri" w:cs="Calibri"/>
          <w:b/>
          <w:color w:val="087838"/>
          <w:sz w:val="26"/>
          <w:szCs w:val="26"/>
        </w:rPr>
        <w:t xml:space="preserve">Comments and Inquiries </w:t>
      </w:r>
    </w:p>
    <w:p w14:paraId="2D77BE87" w14:textId="30725639" w:rsidR="00957679" w:rsidRPr="00957679" w:rsidRDefault="00957679" w:rsidP="00957679">
      <w:pPr>
        <w:spacing w:after="100" w:afterAutospacing="1" w:line="240" w:lineRule="auto"/>
        <w:rPr>
          <w:rFonts w:ascii="Calibri" w:hAnsi="Calibri" w:cs="Calibri"/>
        </w:rPr>
      </w:pPr>
      <w:r w:rsidRPr="00957679">
        <w:rPr>
          <w:rFonts w:ascii="Calibri" w:eastAsia="Times New Roman" w:hAnsi="Calibri" w:cs="Calibri"/>
        </w:rPr>
        <w:t xml:space="preserve">For any clarifications, write to </w:t>
      </w:r>
      <w:hyperlink r:id="rId11" w:history="1">
        <w:r w:rsidR="00E678D0" w:rsidRPr="008E4F9D">
          <w:rPr>
            <w:rStyle w:val="Hyperlink"/>
            <w:rFonts w:ascii="Calibri" w:hAnsi="Calibri" w:cs="Calibri"/>
          </w:rPr>
          <w:t>tender@ss.goal.ie</w:t>
        </w:r>
      </w:hyperlink>
    </w:p>
    <w:p w14:paraId="5D72F605" w14:textId="77777777" w:rsidR="00957679" w:rsidRPr="00957679" w:rsidRDefault="00957679">
      <w:pPr>
        <w:rPr>
          <w:rFonts w:ascii="Calibri" w:hAnsi="Calibri" w:cs="Calibri"/>
          <w:lang w:val="en-GB"/>
        </w:rPr>
      </w:pPr>
    </w:p>
    <w:sectPr w:rsidR="00957679" w:rsidRPr="00957679" w:rsidSect="00957679">
      <w:headerReference w:type="default" r:id="rId12"/>
      <w:pgSz w:w="11906" w:h="16838"/>
      <w:pgMar w:top="1440" w:right="1440" w:bottom="1440" w:left="1440"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9745" w14:textId="77777777" w:rsidR="00B204B6" w:rsidRDefault="00B204B6" w:rsidP="00957679">
      <w:pPr>
        <w:spacing w:after="0" w:line="240" w:lineRule="auto"/>
      </w:pPr>
      <w:r>
        <w:separator/>
      </w:r>
    </w:p>
  </w:endnote>
  <w:endnote w:type="continuationSeparator" w:id="0">
    <w:p w14:paraId="2530BE48" w14:textId="77777777" w:rsidR="00B204B6" w:rsidRDefault="00B204B6" w:rsidP="0095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D9C5E" w14:textId="77777777" w:rsidR="00B204B6" w:rsidRDefault="00B204B6" w:rsidP="00957679">
      <w:pPr>
        <w:spacing w:after="0" w:line="240" w:lineRule="auto"/>
      </w:pPr>
      <w:r>
        <w:separator/>
      </w:r>
    </w:p>
  </w:footnote>
  <w:footnote w:type="continuationSeparator" w:id="0">
    <w:p w14:paraId="03815B74" w14:textId="77777777" w:rsidR="00B204B6" w:rsidRDefault="00B204B6" w:rsidP="00957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E40E" w14:textId="7C92BA5B" w:rsidR="00957679" w:rsidRDefault="00957679">
    <w:pPr>
      <w:pStyle w:val="Header"/>
    </w:pPr>
    <w:r w:rsidRPr="0064589B">
      <w:rPr>
        <w:rFonts w:cstheme="minorHAnsi"/>
        <w:noProof/>
        <w:lang w:eastAsia="en-GB"/>
      </w:rPr>
      <w:drawing>
        <wp:inline distT="0" distB="0" distL="0" distR="0" wp14:anchorId="3773BD84" wp14:editId="6E3A41B9">
          <wp:extent cx="16859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504825"/>
                  </a:xfrm>
                  <a:prstGeom prst="rect">
                    <a:avLst/>
                  </a:prstGeom>
                  <a:noFill/>
                  <a:ln>
                    <a:noFill/>
                  </a:ln>
                </pic:spPr>
              </pic:pic>
            </a:graphicData>
          </a:graphic>
        </wp:inline>
      </w:drawing>
    </w:r>
    <w:r>
      <w:t xml:space="preserve">                                                    </w:t>
    </w:r>
    <w:r w:rsidRPr="0064589B">
      <w:rPr>
        <w:rFonts w:cstheme="minorHAnsi"/>
        <w:b/>
        <w:color w:val="087838"/>
        <w:sz w:val="36"/>
      </w:rPr>
      <w:t>Terms of Reference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6FD9"/>
    <w:multiLevelType w:val="hybridMultilevel"/>
    <w:tmpl w:val="6DA267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251DA"/>
    <w:multiLevelType w:val="hybridMultilevel"/>
    <w:tmpl w:val="B4AA67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E38F3"/>
    <w:multiLevelType w:val="multilevel"/>
    <w:tmpl w:val="14CE709A"/>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2B1ABC"/>
    <w:multiLevelType w:val="multilevel"/>
    <w:tmpl w:val="B9E2B7BC"/>
    <w:lvl w:ilvl="0">
      <w:start w:val="1"/>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5F7583"/>
    <w:multiLevelType w:val="hybridMultilevel"/>
    <w:tmpl w:val="D6B0CF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20FE3"/>
    <w:multiLevelType w:val="hybridMultilevel"/>
    <w:tmpl w:val="5F165E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760541B"/>
    <w:multiLevelType w:val="hybridMultilevel"/>
    <w:tmpl w:val="CADE1E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AD8538E"/>
    <w:multiLevelType w:val="hybridMultilevel"/>
    <w:tmpl w:val="4D94BCE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8C4BDD"/>
    <w:multiLevelType w:val="hybridMultilevel"/>
    <w:tmpl w:val="5BDA3D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8694F0F"/>
    <w:multiLevelType w:val="hybridMultilevel"/>
    <w:tmpl w:val="7868A2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9F93E70"/>
    <w:multiLevelType w:val="hybridMultilevel"/>
    <w:tmpl w:val="213C6D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D198B"/>
    <w:multiLevelType w:val="hybridMultilevel"/>
    <w:tmpl w:val="69067B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3B28BE"/>
    <w:multiLevelType w:val="hybridMultilevel"/>
    <w:tmpl w:val="70D8797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8E7635"/>
    <w:multiLevelType w:val="multilevel"/>
    <w:tmpl w:val="2CB8D64C"/>
    <w:lvl w:ilvl="0">
      <w:start w:val="1"/>
      <w:numFmt w:val="decimal"/>
      <w:lvlText w:val="%1."/>
      <w:lvlJc w:val="left"/>
      <w:pPr>
        <w:ind w:left="643" w:hanging="360"/>
      </w:pPr>
      <w:rPr>
        <w:rFonts w:hint="default"/>
        <w:color w:val="000000" w:themeColor="text1"/>
      </w:rPr>
    </w:lvl>
    <w:lvl w:ilvl="1">
      <w:start w:val="1"/>
      <w:numFmt w:val="decimalZero"/>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1B26BEB"/>
    <w:multiLevelType w:val="hybridMultilevel"/>
    <w:tmpl w:val="DA42C1F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305249B"/>
    <w:multiLevelType w:val="multilevel"/>
    <w:tmpl w:val="FABE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10149"/>
    <w:multiLevelType w:val="hybridMultilevel"/>
    <w:tmpl w:val="E4FEA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4E133A"/>
    <w:multiLevelType w:val="hybridMultilevel"/>
    <w:tmpl w:val="B440A7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AA62D38"/>
    <w:multiLevelType w:val="hybridMultilevel"/>
    <w:tmpl w:val="14543734"/>
    <w:lvl w:ilvl="0" w:tplc="1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2A0002"/>
    <w:multiLevelType w:val="hybridMultilevel"/>
    <w:tmpl w:val="F59C0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D823AA"/>
    <w:multiLevelType w:val="hybridMultilevel"/>
    <w:tmpl w:val="92927F08"/>
    <w:lvl w:ilvl="0" w:tplc="830E207C">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6DD42BB"/>
    <w:multiLevelType w:val="hybridMultilevel"/>
    <w:tmpl w:val="3370D678"/>
    <w:lvl w:ilvl="0" w:tplc="CF92B870">
      <w:start w:val="1"/>
      <w:numFmt w:val="lowerRoman"/>
      <w:lvlText w:val="%1."/>
      <w:lvlJc w:val="left"/>
      <w:pPr>
        <w:ind w:left="1080" w:hanging="720"/>
      </w:pPr>
      <w:rPr>
        <w:rFonts w:cstheme="minorHAnsi" w:hint="default"/>
        <w:b/>
        <w:color w:val="08783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94B13BA"/>
    <w:multiLevelType w:val="hybridMultilevel"/>
    <w:tmpl w:val="EB1409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C9653F1"/>
    <w:multiLevelType w:val="multilevel"/>
    <w:tmpl w:val="3444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5C755F"/>
    <w:multiLevelType w:val="hybridMultilevel"/>
    <w:tmpl w:val="A66E604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383713">
    <w:abstractNumId w:val="12"/>
  </w:num>
  <w:num w:numId="2" w16cid:durableId="73093545">
    <w:abstractNumId w:val="0"/>
  </w:num>
  <w:num w:numId="3" w16cid:durableId="671177258">
    <w:abstractNumId w:val="10"/>
  </w:num>
  <w:num w:numId="4" w16cid:durableId="843398931">
    <w:abstractNumId w:val="24"/>
  </w:num>
  <w:num w:numId="5" w16cid:durableId="285741547">
    <w:abstractNumId w:val="4"/>
  </w:num>
  <w:num w:numId="6" w16cid:durableId="1400328273">
    <w:abstractNumId w:val="1"/>
  </w:num>
  <w:num w:numId="7" w16cid:durableId="829714723">
    <w:abstractNumId w:val="7"/>
  </w:num>
  <w:num w:numId="8" w16cid:durableId="1191457199">
    <w:abstractNumId w:val="14"/>
  </w:num>
  <w:num w:numId="9" w16cid:durableId="903688199">
    <w:abstractNumId w:val="9"/>
  </w:num>
  <w:num w:numId="10" w16cid:durableId="1410031886">
    <w:abstractNumId w:val="8"/>
  </w:num>
  <w:num w:numId="11" w16cid:durableId="2093701739">
    <w:abstractNumId w:val="5"/>
  </w:num>
  <w:num w:numId="12" w16cid:durableId="1239941579">
    <w:abstractNumId w:val="17"/>
  </w:num>
  <w:num w:numId="13" w16cid:durableId="174729364">
    <w:abstractNumId w:val="6"/>
  </w:num>
  <w:num w:numId="14" w16cid:durableId="946622166">
    <w:abstractNumId w:val="15"/>
  </w:num>
  <w:num w:numId="15" w16cid:durableId="1874807040">
    <w:abstractNumId w:val="16"/>
  </w:num>
  <w:num w:numId="16" w16cid:durableId="986396239">
    <w:abstractNumId w:val="23"/>
  </w:num>
  <w:num w:numId="17" w16cid:durableId="2110344090">
    <w:abstractNumId w:val="11"/>
  </w:num>
  <w:num w:numId="18" w16cid:durableId="1723283035">
    <w:abstractNumId w:val="18"/>
  </w:num>
  <w:num w:numId="19" w16cid:durableId="1839733440">
    <w:abstractNumId w:val="19"/>
  </w:num>
  <w:num w:numId="20" w16cid:durableId="919287430">
    <w:abstractNumId w:val="22"/>
  </w:num>
  <w:num w:numId="21" w16cid:durableId="837039436">
    <w:abstractNumId w:val="21"/>
  </w:num>
  <w:num w:numId="22" w16cid:durableId="1818064362">
    <w:abstractNumId w:val="13"/>
  </w:num>
  <w:num w:numId="23" w16cid:durableId="1113599463">
    <w:abstractNumId w:val="2"/>
  </w:num>
  <w:num w:numId="24" w16cid:durableId="422118095">
    <w:abstractNumId w:val="3"/>
  </w:num>
  <w:num w:numId="25" w16cid:durableId="11187149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00"/>
    <w:rsid w:val="00010EAE"/>
    <w:rsid w:val="00050B55"/>
    <w:rsid w:val="000D097B"/>
    <w:rsid w:val="000D6858"/>
    <w:rsid w:val="00105018"/>
    <w:rsid w:val="0017367E"/>
    <w:rsid w:val="001742A8"/>
    <w:rsid w:val="001A5DCD"/>
    <w:rsid w:val="001D2FAE"/>
    <w:rsid w:val="002217F9"/>
    <w:rsid w:val="00321104"/>
    <w:rsid w:val="00323D1E"/>
    <w:rsid w:val="00330458"/>
    <w:rsid w:val="003E6623"/>
    <w:rsid w:val="00484117"/>
    <w:rsid w:val="004A69DD"/>
    <w:rsid w:val="004C2D58"/>
    <w:rsid w:val="004C478D"/>
    <w:rsid w:val="004D7B00"/>
    <w:rsid w:val="00575675"/>
    <w:rsid w:val="00612C9C"/>
    <w:rsid w:val="007341BA"/>
    <w:rsid w:val="00777EC1"/>
    <w:rsid w:val="0078657A"/>
    <w:rsid w:val="007A136C"/>
    <w:rsid w:val="007D4BBB"/>
    <w:rsid w:val="00957679"/>
    <w:rsid w:val="00984DB9"/>
    <w:rsid w:val="009A4B7B"/>
    <w:rsid w:val="00A01F73"/>
    <w:rsid w:val="00A07663"/>
    <w:rsid w:val="00A137F1"/>
    <w:rsid w:val="00A15AE4"/>
    <w:rsid w:val="00A33F21"/>
    <w:rsid w:val="00A63388"/>
    <w:rsid w:val="00B204B6"/>
    <w:rsid w:val="00B672B9"/>
    <w:rsid w:val="00B74408"/>
    <w:rsid w:val="00BB275D"/>
    <w:rsid w:val="00CA73CE"/>
    <w:rsid w:val="00D45DD4"/>
    <w:rsid w:val="00D94D51"/>
    <w:rsid w:val="00DA724F"/>
    <w:rsid w:val="00DE2F50"/>
    <w:rsid w:val="00E31E17"/>
    <w:rsid w:val="00E678D0"/>
    <w:rsid w:val="00ED2522"/>
    <w:rsid w:val="00F122A4"/>
    <w:rsid w:val="00F3019A"/>
    <w:rsid w:val="00F40B60"/>
    <w:rsid w:val="00F46D1F"/>
    <w:rsid w:val="00F521B1"/>
    <w:rsid w:val="00FB795F"/>
    <w:rsid w:val="00FD07CD"/>
    <w:rsid w:val="00FD65AE"/>
  </w:rsids>
  <m:mathPr>
    <m:mathFont m:val="Cambria Math"/>
    <m:brkBin m:val="before"/>
    <m:brkBinSub m:val="--"/>
    <m:smallFrac m:val="0"/>
    <m:dispDef/>
    <m:lMargin m:val="0"/>
    <m:rMargin m:val="0"/>
    <m:defJc m:val="centerGroup"/>
    <m:wrapIndent m:val="1440"/>
    <m:intLim m:val="subSup"/>
    <m:naryLim m:val="undOvr"/>
  </m:mathPr>
  <w:themeFontLang w:val="en-S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2DF6"/>
  <w15:chartTrackingRefBased/>
  <w15:docId w15:val="{1DE5C88A-3B2C-4A5D-B903-BFF6F876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B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B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B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B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B00"/>
    <w:rPr>
      <w:rFonts w:eastAsiaTheme="majorEastAsia" w:cstheme="majorBidi"/>
      <w:color w:val="272727" w:themeColor="text1" w:themeTint="D8"/>
    </w:rPr>
  </w:style>
  <w:style w:type="paragraph" w:styleId="Title">
    <w:name w:val="Title"/>
    <w:basedOn w:val="Normal"/>
    <w:next w:val="Normal"/>
    <w:link w:val="TitleChar"/>
    <w:uiPriority w:val="10"/>
    <w:qFormat/>
    <w:rsid w:val="004D7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B00"/>
    <w:pPr>
      <w:spacing w:before="160"/>
      <w:jc w:val="center"/>
    </w:pPr>
    <w:rPr>
      <w:i/>
      <w:iCs/>
      <w:color w:val="404040" w:themeColor="text1" w:themeTint="BF"/>
    </w:rPr>
  </w:style>
  <w:style w:type="character" w:customStyle="1" w:styleId="QuoteChar">
    <w:name w:val="Quote Char"/>
    <w:basedOn w:val="DefaultParagraphFont"/>
    <w:link w:val="Quote"/>
    <w:uiPriority w:val="29"/>
    <w:rsid w:val="004D7B00"/>
    <w:rPr>
      <w:i/>
      <w:iCs/>
      <w:color w:val="404040" w:themeColor="text1" w:themeTint="BF"/>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
    <w:basedOn w:val="Normal"/>
    <w:link w:val="ListParagraphChar"/>
    <w:uiPriority w:val="34"/>
    <w:qFormat/>
    <w:rsid w:val="004D7B00"/>
    <w:pPr>
      <w:ind w:left="720"/>
      <w:contextualSpacing/>
    </w:pPr>
  </w:style>
  <w:style w:type="character" w:styleId="IntenseEmphasis">
    <w:name w:val="Intense Emphasis"/>
    <w:basedOn w:val="DefaultParagraphFont"/>
    <w:uiPriority w:val="21"/>
    <w:qFormat/>
    <w:rsid w:val="004D7B00"/>
    <w:rPr>
      <w:i/>
      <w:iCs/>
      <w:color w:val="0F4761" w:themeColor="accent1" w:themeShade="BF"/>
    </w:rPr>
  </w:style>
  <w:style w:type="paragraph" w:styleId="IntenseQuote">
    <w:name w:val="Intense Quote"/>
    <w:basedOn w:val="Normal"/>
    <w:next w:val="Normal"/>
    <w:link w:val="IntenseQuoteChar"/>
    <w:uiPriority w:val="30"/>
    <w:qFormat/>
    <w:rsid w:val="004D7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B00"/>
    <w:rPr>
      <w:i/>
      <w:iCs/>
      <w:color w:val="0F4761" w:themeColor="accent1" w:themeShade="BF"/>
    </w:rPr>
  </w:style>
  <w:style w:type="character" w:styleId="IntenseReference">
    <w:name w:val="Intense Reference"/>
    <w:basedOn w:val="DefaultParagraphFont"/>
    <w:uiPriority w:val="32"/>
    <w:qFormat/>
    <w:rsid w:val="004D7B00"/>
    <w:rPr>
      <w:b/>
      <w:bCs/>
      <w:smallCaps/>
      <w:color w:val="0F4761" w:themeColor="accent1" w:themeShade="BF"/>
      <w:spacing w:val="5"/>
    </w:rPr>
  </w:style>
  <w:style w:type="table" w:styleId="TableGrid">
    <w:name w:val="Table Grid"/>
    <w:basedOn w:val="TableNormal"/>
    <w:uiPriority w:val="59"/>
    <w:rsid w:val="004D7B00"/>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07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D07CD"/>
    <w:rPr>
      <w:b/>
      <w:bCs/>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
    <w:link w:val="ListParagraph"/>
    <w:uiPriority w:val="34"/>
    <w:qFormat/>
    <w:rsid w:val="00DA724F"/>
  </w:style>
  <w:style w:type="paragraph" w:styleId="NoSpacing">
    <w:name w:val="No Spacing"/>
    <w:uiPriority w:val="1"/>
    <w:qFormat/>
    <w:rsid w:val="00957679"/>
    <w:pPr>
      <w:spacing w:before="100" w:after="0" w:line="240" w:lineRule="auto"/>
    </w:pPr>
    <w:rPr>
      <w:kern w:val="0"/>
      <w:sz w:val="20"/>
      <w:szCs w:val="20"/>
      <w:lang w:val="en-GB" w:eastAsia="en-US"/>
      <w14:ligatures w14:val="none"/>
    </w:rPr>
  </w:style>
  <w:style w:type="table" w:customStyle="1" w:styleId="TableGrid1">
    <w:name w:val="Table Grid1"/>
    <w:basedOn w:val="TableNormal"/>
    <w:next w:val="TableGrid"/>
    <w:uiPriority w:val="39"/>
    <w:rsid w:val="00957679"/>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7679"/>
    <w:rPr>
      <w:color w:val="0000FF"/>
      <w:u w:val="single"/>
    </w:rPr>
  </w:style>
  <w:style w:type="paragraph" w:styleId="Header">
    <w:name w:val="header"/>
    <w:basedOn w:val="Normal"/>
    <w:link w:val="HeaderChar"/>
    <w:uiPriority w:val="99"/>
    <w:unhideWhenUsed/>
    <w:rsid w:val="00957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679"/>
  </w:style>
  <w:style w:type="paragraph" w:styleId="Footer">
    <w:name w:val="footer"/>
    <w:basedOn w:val="Normal"/>
    <w:link w:val="FooterChar"/>
    <w:uiPriority w:val="99"/>
    <w:unhideWhenUsed/>
    <w:rsid w:val="00957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679"/>
  </w:style>
  <w:style w:type="character" w:styleId="UnresolvedMention">
    <w:name w:val="Unresolved Mention"/>
    <w:basedOn w:val="DefaultParagraphFont"/>
    <w:uiPriority w:val="99"/>
    <w:semiHidden/>
    <w:unhideWhenUsed/>
    <w:rsid w:val="00E67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ss.goal.i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A2386-728C-4941-AC44-D4850D26A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727D03-03DD-4F68-BAD4-4DA9C7D9C8FC}">
  <ds:schemaRefs>
    <ds:schemaRef ds:uri="http://schemas.microsoft.com/sharepoint/v3/contenttype/forms"/>
  </ds:schemaRefs>
</ds:datastoreItem>
</file>

<file path=customXml/itemProps3.xml><?xml version="1.0" encoding="utf-8"?>
<ds:datastoreItem xmlns:ds="http://schemas.openxmlformats.org/officeDocument/2006/customXml" ds:itemID="{1205B2D3-59C9-4545-A2C7-DAF49D08A9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2543</Words>
  <Characters>14143</Characters>
  <Application>Microsoft Office Word</Application>
  <DocSecurity>0</DocSecurity>
  <Lines>288</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Elsie Mwimba</dc:creator>
  <cp:keywords/>
  <dc:description/>
  <cp:lastModifiedBy>Koat Kueth Lok</cp:lastModifiedBy>
  <cp:revision>15</cp:revision>
  <dcterms:created xsi:type="dcterms:W3CDTF">2026-07-23T09:53:00Z</dcterms:created>
  <dcterms:modified xsi:type="dcterms:W3CDTF">2026-07-23T15:10:00Z</dcterms:modified>
</cp:coreProperties>
</file>