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8E0" w:rsidRPr="000808E0" w:rsidRDefault="000808E0" w:rsidP="000808E0">
      <w:pPr>
        <w:pStyle w:val="NoSpacing"/>
        <w:pBdr>
          <w:bottom w:val="single" w:sz="4" w:space="1" w:color="auto"/>
        </w:pBdr>
        <w:jc w:val="both"/>
        <w:rPr>
          <w:rFonts w:ascii="Source san pro" w:hAnsi="Source san pro" w:cs="Times New Roman"/>
          <w:b/>
          <w:bCs/>
          <w:color w:val="002060"/>
          <w:sz w:val="32"/>
          <w:szCs w:val="32"/>
        </w:rPr>
      </w:pPr>
      <w:r>
        <w:rPr>
          <w:noProof/>
        </w:rPr>
        <w:t xml:space="preserve">                                                                                                                                         </w:t>
      </w:r>
      <w:r w:rsidRPr="009F738E">
        <w:rPr>
          <w:noProof/>
        </w:rPr>
        <w:drawing>
          <wp:inline distT="0" distB="0" distL="0" distR="0" wp14:anchorId="4C6B5E78" wp14:editId="4E13F60A">
            <wp:extent cx="1396874" cy="10223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521" cy="1038925"/>
                    </a:xfrm>
                    <a:prstGeom prst="rect">
                      <a:avLst/>
                    </a:prstGeom>
                    <a:noFill/>
                    <a:ln>
                      <a:noFill/>
                    </a:ln>
                  </pic:spPr>
                </pic:pic>
              </a:graphicData>
            </a:graphic>
          </wp:inline>
        </w:drawing>
      </w:r>
    </w:p>
    <w:p w:rsidR="000808E0" w:rsidRPr="000808E0" w:rsidRDefault="000808E0" w:rsidP="000808E0">
      <w:pPr>
        <w:pStyle w:val="NoSpacing"/>
        <w:pBdr>
          <w:bottom w:val="single" w:sz="4" w:space="1" w:color="auto"/>
        </w:pBdr>
        <w:jc w:val="both"/>
        <w:rPr>
          <w:rFonts w:ascii="Source san pro" w:hAnsi="Source san pro" w:cs="Times New Roman"/>
          <w:b/>
          <w:bCs/>
          <w:color w:val="002060"/>
          <w:sz w:val="32"/>
          <w:szCs w:val="32"/>
        </w:rPr>
      </w:pPr>
      <w:r w:rsidRPr="000808E0">
        <w:rPr>
          <w:rFonts w:ascii="Source san pro" w:hAnsi="Source san pro" w:cs="Times New Roman"/>
          <w:b/>
          <w:bCs/>
          <w:color w:val="002060"/>
          <w:sz w:val="32"/>
          <w:szCs w:val="32"/>
        </w:rPr>
        <w:t xml:space="preserve">Call for expression of interest in consultancy </w:t>
      </w:r>
    </w:p>
    <w:p w:rsidR="000808E0" w:rsidRPr="000808E0" w:rsidRDefault="000808E0" w:rsidP="000808E0">
      <w:pPr>
        <w:pStyle w:val="NoSpacing"/>
        <w:pBdr>
          <w:bottom w:val="single" w:sz="4" w:space="1" w:color="auto"/>
        </w:pBdr>
        <w:jc w:val="both"/>
        <w:rPr>
          <w:rFonts w:ascii="Source san pro" w:hAnsi="Source san pro" w:cs="Times New Roman"/>
          <w:b/>
          <w:bCs/>
          <w:color w:val="002060"/>
          <w:sz w:val="32"/>
          <w:szCs w:val="32"/>
        </w:rPr>
      </w:pPr>
      <w:r w:rsidRPr="000808E0">
        <w:rPr>
          <w:rFonts w:ascii="Source san pro" w:hAnsi="Source san pro" w:cs="Times New Roman"/>
          <w:b/>
          <w:bCs/>
          <w:color w:val="002060"/>
          <w:sz w:val="32"/>
          <w:szCs w:val="32"/>
        </w:rPr>
        <w:t>Monitoring Coverage for Mass Drug Administration South Sudan</w:t>
      </w:r>
    </w:p>
    <w:p w:rsidR="000808E0" w:rsidRPr="000808E0" w:rsidRDefault="000808E0" w:rsidP="000808E0">
      <w:pPr>
        <w:pStyle w:val="NoSpacing"/>
        <w:pBdr>
          <w:bottom w:val="single" w:sz="4" w:space="1" w:color="auto"/>
        </w:pBdr>
        <w:jc w:val="both"/>
        <w:rPr>
          <w:rFonts w:ascii="Source san pro" w:hAnsi="Source san pro" w:cs="Times New Roman"/>
          <w:b/>
          <w:bCs/>
          <w:color w:val="002060"/>
          <w:sz w:val="32"/>
          <w:szCs w:val="32"/>
        </w:rPr>
      </w:pPr>
    </w:p>
    <w:p w:rsidR="000808E0" w:rsidRPr="000808E0" w:rsidRDefault="000808E0" w:rsidP="000808E0">
      <w:pPr>
        <w:pStyle w:val="NormalWeb"/>
        <w:jc w:val="both"/>
        <w:rPr>
          <w:rFonts w:ascii="Source san pro" w:hAnsi="Source san pro"/>
          <w:b/>
          <w:bCs/>
          <w:color w:val="000000"/>
          <w:sz w:val="18"/>
          <w:szCs w:val="18"/>
          <w:lang w:val="en-GB"/>
        </w:rPr>
      </w:pPr>
      <w:r w:rsidRPr="000808E0">
        <w:rPr>
          <w:rFonts w:ascii="Source san pro" w:hAnsi="Source san pro"/>
          <w:b/>
          <w:bCs/>
          <w:color w:val="000000"/>
          <w:sz w:val="22"/>
          <w:szCs w:val="22"/>
          <w:lang w:val="en-GB"/>
        </w:rPr>
        <w:t>We are CBM</w:t>
      </w:r>
    </w:p>
    <w:p w:rsidR="000808E0" w:rsidRPr="000808E0" w:rsidRDefault="000808E0" w:rsidP="000808E0">
      <w:pPr>
        <w:pStyle w:val="NormalWeb"/>
        <w:jc w:val="both"/>
        <w:rPr>
          <w:rFonts w:ascii="Source san pro" w:hAnsi="Source san pro"/>
          <w:color w:val="000000"/>
          <w:sz w:val="22"/>
          <w:szCs w:val="22"/>
          <w:lang w:val="en-GB"/>
        </w:rPr>
      </w:pPr>
      <w:r w:rsidRPr="000808E0">
        <w:rPr>
          <w:rFonts w:ascii="Source san pro" w:hAnsi="Source san pro"/>
          <w:color w:val="000000"/>
          <w:sz w:val="22"/>
          <w:szCs w:val="22"/>
          <w:lang w:val="en-GB"/>
        </w:rPr>
        <w:t>CBM is a Christian international development organisation, committed to improving the quality of life of people with disabilities in the poorest communities of the world irrespective of race, gender or religious belief.</w:t>
      </w:r>
    </w:p>
    <w:p w:rsidR="000808E0" w:rsidRPr="000808E0" w:rsidRDefault="000808E0" w:rsidP="000808E0">
      <w:pPr>
        <w:pStyle w:val="NormalWeb"/>
        <w:jc w:val="both"/>
        <w:rPr>
          <w:rFonts w:ascii="Source san pro" w:hAnsi="Source san pro"/>
          <w:color w:val="000000"/>
          <w:sz w:val="22"/>
          <w:szCs w:val="22"/>
          <w:lang w:val="en-GB"/>
        </w:rPr>
      </w:pPr>
      <w:r w:rsidRPr="000808E0">
        <w:rPr>
          <w:rFonts w:ascii="Source san pro" w:hAnsi="Source san pro"/>
          <w:color w:val="000000"/>
          <w:sz w:val="22"/>
          <w:szCs w:val="22"/>
          <w:lang w:val="en-GB"/>
        </w:rPr>
        <w:t>Based on its core values and over 100 years of professional expertise, CBM addresses poverty both as a cause and as a consequence of disability and works in partnership with local and national civil society organisations to create an inclusive society for all.</w:t>
      </w:r>
    </w:p>
    <w:p w:rsidR="000808E0" w:rsidRPr="000808E0" w:rsidRDefault="000808E0" w:rsidP="000808E0">
      <w:pPr>
        <w:pStyle w:val="NormalWeb"/>
        <w:jc w:val="both"/>
        <w:rPr>
          <w:rFonts w:ascii="Source san pro" w:hAnsi="Source san pro"/>
          <w:b/>
          <w:bCs/>
          <w:color w:val="000000"/>
          <w:sz w:val="22"/>
          <w:szCs w:val="22"/>
          <w:lang w:val="en-GB"/>
        </w:rPr>
      </w:pPr>
      <w:r w:rsidRPr="000808E0">
        <w:rPr>
          <w:rFonts w:ascii="Source san pro" w:hAnsi="Source san pro"/>
          <w:b/>
          <w:bCs/>
          <w:color w:val="000000"/>
          <w:sz w:val="22"/>
          <w:szCs w:val="22"/>
          <w:lang w:val="en-GB"/>
        </w:rPr>
        <w:t>Our work</w:t>
      </w:r>
    </w:p>
    <w:p w:rsidR="000808E0" w:rsidRPr="000808E0" w:rsidRDefault="000808E0" w:rsidP="000808E0">
      <w:pPr>
        <w:pStyle w:val="NormalWeb"/>
        <w:jc w:val="both"/>
        <w:rPr>
          <w:rFonts w:ascii="Source san pro" w:hAnsi="Source san pro"/>
          <w:color w:val="000000"/>
          <w:sz w:val="22"/>
          <w:szCs w:val="22"/>
          <w:lang w:val="en-GB"/>
        </w:rPr>
      </w:pPr>
      <w:r w:rsidRPr="000808E0">
        <w:rPr>
          <w:rFonts w:ascii="Source san pro" w:hAnsi="Source san pro"/>
          <w:color w:val="000000"/>
          <w:sz w:val="22"/>
          <w:szCs w:val="22"/>
          <w:lang w:val="en-GB"/>
        </w:rPr>
        <w:t>In 2019, CBM, together with 347 partners, supported a total of 540 projects in 51 countries. We helped nearly 10.7 million people through our core activities, as well as reaching about 29 million people in 9 countries who were affected by Neglected Tropical Diseases (NTDs) and received treatment or underwent eye surgeries. An additional 31 million were treated through Mass Drug Administration (MDA). Our work included:</w:t>
      </w:r>
    </w:p>
    <w:p w:rsidR="000808E0" w:rsidRPr="000808E0" w:rsidRDefault="000808E0" w:rsidP="000808E0">
      <w:pPr>
        <w:pStyle w:val="NormalWeb"/>
        <w:numPr>
          <w:ilvl w:val="0"/>
          <w:numId w:val="4"/>
        </w:numPr>
        <w:jc w:val="both"/>
        <w:rPr>
          <w:rFonts w:ascii="Source san pro" w:hAnsi="Source san pro"/>
          <w:color w:val="000000"/>
          <w:sz w:val="22"/>
          <w:szCs w:val="22"/>
          <w:lang w:val="en-GB"/>
        </w:rPr>
      </w:pPr>
      <w:r w:rsidRPr="000808E0">
        <w:rPr>
          <w:rFonts w:ascii="Source san pro" w:hAnsi="Source san pro"/>
          <w:color w:val="000000"/>
          <w:sz w:val="22"/>
          <w:szCs w:val="22"/>
          <w:lang w:val="en-GB"/>
        </w:rPr>
        <w:t>Supporting comprehensive health care systems and services in eye health, ear and hearing care, community mental health and physical rehabilitation.</w:t>
      </w:r>
    </w:p>
    <w:p w:rsidR="000808E0" w:rsidRPr="000808E0" w:rsidRDefault="000808E0" w:rsidP="000808E0">
      <w:pPr>
        <w:pStyle w:val="NormalWeb"/>
        <w:numPr>
          <w:ilvl w:val="0"/>
          <w:numId w:val="4"/>
        </w:numPr>
        <w:jc w:val="both"/>
        <w:rPr>
          <w:rFonts w:ascii="Source san pro" w:hAnsi="Source san pro"/>
          <w:color w:val="000000"/>
          <w:sz w:val="22"/>
          <w:szCs w:val="22"/>
          <w:lang w:val="en-GB"/>
        </w:rPr>
      </w:pPr>
      <w:r w:rsidRPr="000808E0">
        <w:rPr>
          <w:rFonts w:ascii="Source san pro" w:hAnsi="Source san pro"/>
          <w:color w:val="000000"/>
          <w:sz w:val="22"/>
          <w:szCs w:val="22"/>
          <w:lang w:val="en-GB"/>
        </w:rPr>
        <w:t>Ensuring inclusive education for all, reaching the most marginalised.</w:t>
      </w:r>
    </w:p>
    <w:p w:rsidR="000808E0" w:rsidRPr="000808E0" w:rsidRDefault="000808E0" w:rsidP="000808E0">
      <w:pPr>
        <w:pStyle w:val="NormalWeb"/>
        <w:numPr>
          <w:ilvl w:val="0"/>
          <w:numId w:val="4"/>
        </w:numPr>
        <w:jc w:val="both"/>
        <w:rPr>
          <w:rFonts w:ascii="Source san pro" w:hAnsi="Source san pro"/>
          <w:color w:val="000000"/>
          <w:sz w:val="22"/>
          <w:szCs w:val="22"/>
          <w:lang w:val="en-GB"/>
        </w:rPr>
      </w:pPr>
      <w:r w:rsidRPr="000808E0">
        <w:rPr>
          <w:rFonts w:ascii="Source san pro" w:hAnsi="Source san pro"/>
          <w:color w:val="000000"/>
          <w:sz w:val="22"/>
          <w:szCs w:val="22"/>
          <w:lang w:val="en-GB"/>
        </w:rPr>
        <w:t>Building inclusive, resilient communities through community based inclusive development.</w:t>
      </w:r>
    </w:p>
    <w:p w:rsidR="000808E0" w:rsidRPr="000808E0" w:rsidRDefault="000808E0" w:rsidP="000808E0">
      <w:pPr>
        <w:pStyle w:val="NormalWeb"/>
        <w:numPr>
          <w:ilvl w:val="0"/>
          <w:numId w:val="4"/>
        </w:numPr>
        <w:jc w:val="both"/>
        <w:rPr>
          <w:rFonts w:ascii="Source san pro" w:hAnsi="Source san pro"/>
          <w:color w:val="000000"/>
          <w:sz w:val="22"/>
          <w:szCs w:val="22"/>
          <w:lang w:val="en-GB"/>
        </w:rPr>
      </w:pPr>
      <w:r w:rsidRPr="000808E0">
        <w:rPr>
          <w:rFonts w:ascii="Source san pro" w:hAnsi="Source san pro"/>
          <w:color w:val="000000"/>
          <w:sz w:val="22"/>
          <w:szCs w:val="22"/>
          <w:lang w:val="en-GB"/>
        </w:rPr>
        <w:t>Implementing inclusive emergency response and disaster risk reduction.</w:t>
      </w:r>
    </w:p>
    <w:p w:rsidR="000808E0" w:rsidRPr="000808E0" w:rsidRDefault="000808E0" w:rsidP="000808E0">
      <w:pPr>
        <w:pStyle w:val="NormalWeb"/>
        <w:numPr>
          <w:ilvl w:val="0"/>
          <w:numId w:val="4"/>
        </w:numPr>
        <w:jc w:val="both"/>
        <w:rPr>
          <w:rFonts w:ascii="Source san pro" w:hAnsi="Source san pro"/>
          <w:color w:val="000000"/>
          <w:sz w:val="22"/>
          <w:szCs w:val="22"/>
          <w:lang w:val="en-GB"/>
        </w:rPr>
      </w:pPr>
      <w:r w:rsidRPr="000808E0">
        <w:rPr>
          <w:rFonts w:ascii="Source san pro" w:hAnsi="Source san pro"/>
          <w:color w:val="000000"/>
          <w:sz w:val="22"/>
          <w:szCs w:val="22"/>
          <w:lang w:val="en-GB"/>
        </w:rPr>
        <w:t>Strengthening international advocacy and alliances to realise the human rights of persons with disabilities and the promotion of disability-inclusive development.</w:t>
      </w:r>
    </w:p>
    <w:p w:rsidR="000808E0" w:rsidRPr="000808E0" w:rsidRDefault="000808E0" w:rsidP="000808E0">
      <w:pPr>
        <w:pStyle w:val="NormalWeb"/>
        <w:numPr>
          <w:ilvl w:val="0"/>
          <w:numId w:val="4"/>
        </w:numPr>
        <w:jc w:val="both"/>
        <w:rPr>
          <w:rFonts w:ascii="Source san pro" w:hAnsi="Source san pro"/>
          <w:color w:val="000000"/>
          <w:sz w:val="22"/>
          <w:szCs w:val="22"/>
          <w:lang w:val="en-GB"/>
        </w:rPr>
      </w:pPr>
      <w:r w:rsidRPr="000808E0">
        <w:rPr>
          <w:rFonts w:ascii="Source san pro" w:hAnsi="Source san pro"/>
          <w:color w:val="000000"/>
          <w:sz w:val="22"/>
          <w:szCs w:val="22"/>
          <w:lang w:val="en-GB"/>
        </w:rPr>
        <w:t>Facilitating access to treatment against neglected tropical diseases for all persons living in areas at risk of infection.</w:t>
      </w:r>
    </w:p>
    <w:p w:rsidR="000808E0" w:rsidRPr="000808E0" w:rsidRDefault="000808E0" w:rsidP="000808E0">
      <w:pPr>
        <w:pStyle w:val="NoSpacing"/>
        <w:pBdr>
          <w:bottom w:val="single" w:sz="4" w:space="1" w:color="auto"/>
        </w:pBdr>
        <w:rPr>
          <w:rFonts w:ascii="Source san pro" w:hAnsi="Source san pro"/>
          <w:b/>
          <w:bCs/>
          <w:sz w:val="24"/>
          <w:szCs w:val="24"/>
        </w:rPr>
      </w:pPr>
      <w:r w:rsidRPr="000808E0">
        <w:rPr>
          <w:rFonts w:ascii="Source san pro" w:hAnsi="Source san pro"/>
          <w:b/>
          <w:bCs/>
          <w:sz w:val="24"/>
          <w:szCs w:val="24"/>
        </w:rPr>
        <w:t xml:space="preserve">Background and rationale </w:t>
      </w:r>
    </w:p>
    <w:p w:rsidR="000808E0" w:rsidRPr="000808E0" w:rsidRDefault="000808E0" w:rsidP="000808E0">
      <w:pPr>
        <w:pStyle w:val="NoSpacing"/>
        <w:pBdr>
          <w:bottom w:val="single" w:sz="4" w:space="1" w:color="auto"/>
        </w:pBdr>
        <w:jc w:val="both"/>
        <w:rPr>
          <w:rFonts w:ascii="Source san pro" w:hAnsi="Source san pro"/>
        </w:rPr>
      </w:pPr>
      <w:r w:rsidRPr="000808E0">
        <w:rPr>
          <w:rFonts w:ascii="Source san pro" w:hAnsi="Source san pro"/>
        </w:rPr>
        <w:t xml:space="preserve">CBM is partner from the South Sudan Ministry of Health, since 2006 providing technical assistance and resources for the implementation of the National NTD Program. In 2021, through support from the programme Accelerating Sustainable Control and Elimination of Neglected Diseases (ASCEND) managed by Crown Agents, END Fund, </w:t>
      </w:r>
      <w:proofErr w:type="spellStart"/>
      <w:r w:rsidRPr="000808E0">
        <w:rPr>
          <w:rFonts w:ascii="Source san pro" w:hAnsi="Source san pro"/>
        </w:rPr>
        <w:t>Mectizan</w:t>
      </w:r>
      <w:proofErr w:type="spellEnd"/>
      <w:r w:rsidRPr="000808E0">
        <w:rPr>
          <w:rFonts w:ascii="Source san pro" w:hAnsi="Source san pro"/>
        </w:rPr>
        <w:t xml:space="preserve"> Donation Programme and CBM, integrated treatment campaigns in 47 counties endemic or co-endemic for Onchocerciasis and Lymphatic </w:t>
      </w:r>
      <w:proofErr w:type="spellStart"/>
      <w:r w:rsidRPr="000808E0">
        <w:rPr>
          <w:rFonts w:ascii="Source san pro" w:hAnsi="Source san pro"/>
        </w:rPr>
        <w:t>Filariasis</w:t>
      </w:r>
      <w:proofErr w:type="spellEnd"/>
      <w:r w:rsidRPr="000808E0">
        <w:rPr>
          <w:rFonts w:ascii="Source san pro" w:hAnsi="Source san pro"/>
        </w:rPr>
        <w:t xml:space="preserve"> (LF) through co-distribution of </w:t>
      </w:r>
      <w:proofErr w:type="spellStart"/>
      <w:r w:rsidRPr="000808E0">
        <w:rPr>
          <w:rFonts w:ascii="Source san pro" w:hAnsi="Source san pro"/>
        </w:rPr>
        <w:t>Mectizan</w:t>
      </w:r>
      <w:proofErr w:type="spellEnd"/>
      <w:r w:rsidRPr="000808E0">
        <w:rPr>
          <w:rFonts w:ascii="Source san pro" w:hAnsi="Source san pro"/>
        </w:rPr>
        <w:t xml:space="preserve"> and </w:t>
      </w:r>
      <w:proofErr w:type="spellStart"/>
      <w:r w:rsidRPr="000808E0">
        <w:rPr>
          <w:rFonts w:ascii="Source san pro" w:hAnsi="Source san pro"/>
        </w:rPr>
        <w:t>albendazole</w:t>
      </w:r>
      <w:proofErr w:type="spellEnd"/>
      <w:r w:rsidRPr="000808E0">
        <w:rPr>
          <w:rFonts w:ascii="Source san pro" w:hAnsi="Source san pro"/>
        </w:rPr>
        <w:t xml:space="preserve">, were implemented. The target counties are distributed over 9 States (Lakes, Northern Bahr El Ghazal, </w:t>
      </w:r>
      <w:proofErr w:type="spellStart"/>
      <w:r w:rsidRPr="000808E0">
        <w:rPr>
          <w:rFonts w:ascii="Source san pro" w:hAnsi="Source san pro"/>
        </w:rPr>
        <w:t>Warrap</w:t>
      </w:r>
      <w:proofErr w:type="spellEnd"/>
      <w:r w:rsidRPr="000808E0">
        <w:rPr>
          <w:rFonts w:ascii="Source san pro" w:hAnsi="Source san pro"/>
        </w:rPr>
        <w:t xml:space="preserve">, Central </w:t>
      </w:r>
      <w:proofErr w:type="spellStart"/>
      <w:r w:rsidRPr="000808E0">
        <w:rPr>
          <w:rFonts w:ascii="Source san pro" w:hAnsi="Source san pro"/>
        </w:rPr>
        <w:t>Equatoria</w:t>
      </w:r>
      <w:proofErr w:type="spellEnd"/>
      <w:r w:rsidRPr="000808E0">
        <w:rPr>
          <w:rFonts w:ascii="Source san pro" w:hAnsi="Source san pro"/>
        </w:rPr>
        <w:t xml:space="preserve">, Eastern </w:t>
      </w:r>
      <w:proofErr w:type="spellStart"/>
      <w:r w:rsidRPr="000808E0">
        <w:rPr>
          <w:rFonts w:ascii="Source san pro" w:hAnsi="Source san pro"/>
        </w:rPr>
        <w:t>Equatoria</w:t>
      </w:r>
      <w:proofErr w:type="spellEnd"/>
      <w:r w:rsidRPr="000808E0">
        <w:rPr>
          <w:rFonts w:ascii="Source san pro" w:hAnsi="Source san pro"/>
        </w:rPr>
        <w:t xml:space="preserve">, </w:t>
      </w:r>
      <w:proofErr w:type="spellStart"/>
      <w:r w:rsidRPr="000808E0">
        <w:rPr>
          <w:rFonts w:ascii="Source san pro" w:hAnsi="Source san pro"/>
        </w:rPr>
        <w:t>Jonglei</w:t>
      </w:r>
      <w:proofErr w:type="spellEnd"/>
      <w:r w:rsidRPr="000808E0">
        <w:rPr>
          <w:rFonts w:ascii="Source san pro" w:hAnsi="Source san pro"/>
        </w:rPr>
        <w:t xml:space="preserve">, Unity, Western </w:t>
      </w:r>
      <w:proofErr w:type="spellStart"/>
      <w:r w:rsidRPr="000808E0">
        <w:rPr>
          <w:rFonts w:ascii="Source san pro" w:hAnsi="Source san pro"/>
        </w:rPr>
        <w:t>Equatoria</w:t>
      </w:r>
      <w:proofErr w:type="spellEnd"/>
      <w:r w:rsidRPr="000808E0">
        <w:rPr>
          <w:rFonts w:ascii="Source san pro" w:hAnsi="Source san pro"/>
        </w:rPr>
        <w:t xml:space="preserve">, Western Bahr El Ghazal). </w:t>
      </w:r>
    </w:p>
    <w:p w:rsidR="000808E0" w:rsidRPr="000808E0" w:rsidRDefault="000808E0" w:rsidP="000808E0">
      <w:pPr>
        <w:pStyle w:val="NoSpacing"/>
        <w:pBdr>
          <w:bottom w:val="single" w:sz="4" w:space="1" w:color="auto"/>
        </w:pBdr>
        <w:jc w:val="both"/>
        <w:rPr>
          <w:rFonts w:ascii="Source san pro" w:hAnsi="Source san pro"/>
        </w:rPr>
      </w:pPr>
    </w:p>
    <w:p w:rsidR="000808E0" w:rsidRPr="000808E0" w:rsidRDefault="000808E0" w:rsidP="000808E0">
      <w:pPr>
        <w:pStyle w:val="NoSpacing"/>
        <w:pBdr>
          <w:bottom w:val="single" w:sz="4" w:space="1" w:color="auto"/>
        </w:pBdr>
        <w:jc w:val="both"/>
        <w:rPr>
          <w:rFonts w:ascii="Source san pro" w:hAnsi="Source san pro"/>
        </w:rPr>
      </w:pPr>
    </w:p>
    <w:p w:rsidR="000808E0" w:rsidRPr="000808E0" w:rsidRDefault="000808E0" w:rsidP="000808E0">
      <w:pPr>
        <w:pStyle w:val="NoSpacing"/>
        <w:pBdr>
          <w:bottom w:val="single" w:sz="4" w:space="1" w:color="auto"/>
        </w:pBdr>
        <w:jc w:val="both"/>
        <w:rPr>
          <w:rFonts w:ascii="Source san pro" w:hAnsi="Source san pro"/>
        </w:rPr>
      </w:pPr>
      <w:r w:rsidRPr="000808E0">
        <w:rPr>
          <w:rFonts w:ascii="Source san pro" w:hAnsi="Source san pro"/>
        </w:rPr>
        <w:t xml:space="preserve">Strategies for elimination of selected Neglected Tropical Diseases (NTD) is including annual mass drugs administration (MDA) using effective drugs. These drugs have a broad-spectrum action and thus make it possible to fight against several parasites at the same time. Key to elimination of preventive chemotherapy (PC) NTDs is to achieve high treatment coverage (both therapeutic and geographic) to interrupt germs transmission and eliminate disease in the treated endemic area. In South Sudan, the World Health </w:t>
      </w:r>
      <w:proofErr w:type="spellStart"/>
      <w:r w:rsidRPr="000808E0">
        <w:rPr>
          <w:rFonts w:ascii="Source san pro" w:hAnsi="Source san pro"/>
        </w:rPr>
        <w:t>Organisation</w:t>
      </w:r>
      <w:proofErr w:type="spellEnd"/>
      <w:r w:rsidRPr="000808E0">
        <w:rPr>
          <w:rFonts w:ascii="Source san pro" w:hAnsi="Source san pro"/>
        </w:rPr>
        <w:t>, donors and various stakeholders are supporting the National NTDs Programme with the implementation of annual MDA campaigns for control and elimination of NTDs</w:t>
      </w:r>
    </w:p>
    <w:p w:rsidR="000808E0" w:rsidRPr="000808E0" w:rsidRDefault="000808E0" w:rsidP="000808E0">
      <w:pPr>
        <w:pStyle w:val="NoSpacing"/>
        <w:pBdr>
          <w:bottom w:val="single" w:sz="4" w:space="1" w:color="auto"/>
        </w:pBdr>
        <w:jc w:val="both"/>
        <w:rPr>
          <w:rFonts w:ascii="Source san pro" w:hAnsi="Source san pro"/>
        </w:rPr>
      </w:pPr>
    </w:p>
    <w:p w:rsidR="000808E0" w:rsidRPr="000808E0" w:rsidRDefault="000808E0" w:rsidP="000808E0">
      <w:pPr>
        <w:pStyle w:val="NoSpacing"/>
        <w:pBdr>
          <w:bottom w:val="single" w:sz="4" w:space="1" w:color="auto"/>
        </w:pBdr>
        <w:jc w:val="both"/>
        <w:rPr>
          <w:rFonts w:ascii="Source san pro" w:hAnsi="Source san pro"/>
        </w:rPr>
      </w:pPr>
      <w:r w:rsidRPr="000808E0">
        <w:rPr>
          <w:rFonts w:ascii="Source san pro" w:hAnsi="Source san pro"/>
        </w:rPr>
        <w:t xml:space="preserve">Onchocerciasis is treated by administrating </w:t>
      </w:r>
      <w:proofErr w:type="spellStart"/>
      <w:r w:rsidRPr="000808E0">
        <w:rPr>
          <w:rFonts w:ascii="Source san pro" w:hAnsi="Source san pro"/>
        </w:rPr>
        <w:t>Ivermectin</w:t>
      </w:r>
      <w:proofErr w:type="spellEnd"/>
      <w:r w:rsidRPr="000808E0">
        <w:rPr>
          <w:rFonts w:ascii="Source san pro" w:hAnsi="Source san pro"/>
        </w:rPr>
        <w:t xml:space="preserve"> through MDA campaigns to adults and children older than 5 years or more. </w:t>
      </w:r>
      <w:proofErr w:type="spellStart"/>
      <w:r w:rsidRPr="000808E0">
        <w:rPr>
          <w:rFonts w:ascii="Source san pro" w:hAnsi="Source san pro"/>
        </w:rPr>
        <w:t>Albendazole</w:t>
      </w:r>
      <w:proofErr w:type="spellEnd"/>
      <w:r w:rsidRPr="000808E0">
        <w:rPr>
          <w:rFonts w:ascii="Source san pro" w:hAnsi="Source san pro"/>
        </w:rPr>
        <w:t xml:space="preserve"> is added to it to treat LF. Whereas </w:t>
      </w:r>
      <w:proofErr w:type="spellStart"/>
      <w:r w:rsidRPr="000808E0">
        <w:rPr>
          <w:rFonts w:ascii="Source san pro" w:hAnsi="Source san pro"/>
        </w:rPr>
        <w:t>Ivermectin</w:t>
      </w:r>
      <w:proofErr w:type="spellEnd"/>
      <w:r w:rsidRPr="000808E0">
        <w:rPr>
          <w:rFonts w:ascii="Source san pro" w:hAnsi="Source san pro"/>
        </w:rPr>
        <w:t xml:space="preserve"> is distributed using a dosage pole that determines the number of tablets each person should receive (ranging from 1 to 4 tablets), one tablet of </w:t>
      </w:r>
      <w:proofErr w:type="spellStart"/>
      <w:r w:rsidRPr="000808E0">
        <w:rPr>
          <w:rFonts w:ascii="Source san pro" w:hAnsi="Source san pro"/>
        </w:rPr>
        <w:t>Albendazole</w:t>
      </w:r>
      <w:proofErr w:type="spellEnd"/>
      <w:r w:rsidRPr="000808E0">
        <w:rPr>
          <w:rFonts w:ascii="Source san pro" w:hAnsi="Source san pro"/>
        </w:rPr>
        <w:t xml:space="preserve"> is given to each person. Community Drug Distributors (CDDs) record treatment results in community treatment registers for both Onchocerciasis and LF. To inform on the progress towards eliminating of those diseases, effective monitoring and evaluation mechanisms of MDA campaigns are implemented in the national PC-NTDs control programs. Important success indicators are the therapeutic and geographic coverages. To date, data from the 2021 MDA has been reported for all 47 counties. To ensure reported treatment </w:t>
      </w:r>
      <w:r w:rsidRPr="000808E0">
        <w:rPr>
          <w:rFonts w:ascii="Source san pro" w:eastAsia="Microsoft JhengHei" w:hAnsi="Source san pro"/>
        </w:rPr>
        <w:t xml:space="preserve">data are reliable, CBM will work with a consultant agency to carry out an Independent Coverage Survey (ICS). Out of the 47 counties, 9 counties will be selected for the survey. </w:t>
      </w:r>
    </w:p>
    <w:p w:rsidR="000808E0" w:rsidRPr="000808E0" w:rsidRDefault="000808E0" w:rsidP="000808E0">
      <w:pPr>
        <w:pStyle w:val="NoSpacing"/>
        <w:pBdr>
          <w:bottom w:val="single" w:sz="4" w:space="1" w:color="auto"/>
        </w:pBdr>
        <w:jc w:val="both"/>
        <w:rPr>
          <w:rFonts w:ascii="Source san pro" w:hAnsi="Source san pro" w:cs="Times New Roman"/>
          <w:b/>
          <w:bCs/>
          <w:color w:val="002060"/>
          <w:sz w:val="32"/>
          <w:szCs w:val="32"/>
          <w:lang w:val="en-GB"/>
        </w:rPr>
      </w:pPr>
    </w:p>
    <w:p w:rsidR="000808E0" w:rsidRPr="000808E0" w:rsidRDefault="000808E0" w:rsidP="000808E0">
      <w:pPr>
        <w:pStyle w:val="NoSpacing"/>
        <w:pBdr>
          <w:bottom w:val="single" w:sz="4" w:space="1" w:color="auto"/>
        </w:pBdr>
        <w:jc w:val="both"/>
        <w:rPr>
          <w:rFonts w:ascii="Source san pro" w:hAnsi="Source san pro" w:cs="Times New Roman"/>
          <w:b/>
          <w:bCs/>
          <w:color w:val="002060"/>
          <w:sz w:val="32"/>
          <w:szCs w:val="32"/>
        </w:rPr>
      </w:pPr>
      <w:r w:rsidRPr="000808E0">
        <w:rPr>
          <w:rFonts w:ascii="Source san pro" w:hAnsi="Source san pro" w:cs="Times New Roman"/>
          <w:b/>
          <w:bCs/>
          <w:color w:val="002060"/>
          <w:sz w:val="32"/>
          <w:szCs w:val="32"/>
        </w:rPr>
        <w:t xml:space="preserve">Terms of reference for consultancy </w:t>
      </w:r>
    </w:p>
    <w:p w:rsidR="000808E0" w:rsidRPr="000808E0" w:rsidRDefault="000808E0" w:rsidP="000808E0">
      <w:pPr>
        <w:pStyle w:val="NoSpacing"/>
        <w:jc w:val="both"/>
        <w:rPr>
          <w:rFonts w:ascii="Source san pro" w:hAnsi="Source san pro" w:cs="Times New Roman"/>
          <w:b/>
          <w:bCs/>
          <w:color w:val="002060"/>
          <w:sz w:val="32"/>
          <w:szCs w:val="32"/>
        </w:rPr>
      </w:pPr>
    </w:p>
    <w:p w:rsidR="000808E0" w:rsidRPr="000808E0" w:rsidRDefault="000808E0" w:rsidP="000808E0">
      <w:pPr>
        <w:shd w:val="clear" w:color="auto" w:fill="FFFFFF"/>
        <w:spacing w:before="240" w:after="240" w:line="240" w:lineRule="auto"/>
        <w:jc w:val="both"/>
        <w:rPr>
          <w:rFonts w:ascii="Source san pro" w:eastAsia="Times New Roman" w:hAnsi="Source san pro" w:cs="Times New Roman"/>
          <w:color w:val="2E3436"/>
          <w:spacing w:val="3"/>
          <w:sz w:val="24"/>
          <w:szCs w:val="24"/>
          <w:lang w:val="en-GB" w:eastAsia="de-DE"/>
        </w:rPr>
      </w:pPr>
      <w:r w:rsidRPr="000808E0">
        <w:rPr>
          <w:rFonts w:ascii="Source san pro" w:hAnsi="Source san pro"/>
        </w:rPr>
        <w:t xml:space="preserve">CBM is looking for a consultant to </w:t>
      </w:r>
      <w:r w:rsidRPr="000808E0">
        <w:rPr>
          <w:rFonts w:ascii="Source san pro" w:eastAsia="Microsoft JhengHei" w:hAnsi="Source san pro"/>
        </w:rPr>
        <w:t xml:space="preserve">carry out an Independent Coverage Survey (ICS) of the Mass Drug Administration against onchocerciasis and lymphatic </w:t>
      </w:r>
      <w:proofErr w:type="spellStart"/>
      <w:r w:rsidRPr="000808E0">
        <w:rPr>
          <w:rFonts w:ascii="Source san pro" w:eastAsia="Microsoft JhengHei" w:hAnsi="Source san pro"/>
        </w:rPr>
        <w:t>filariasis</w:t>
      </w:r>
      <w:proofErr w:type="spellEnd"/>
      <w:r w:rsidRPr="000808E0">
        <w:rPr>
          <w:rFonts w:ascii="Source san pro" w:eastAsia="Microsoft JhengHei" w:hAnsi="Source san pro"/>
        </w:rPr>
        <w:t xml:space="preserve"> in South Sudan. </w:t>
      </w:r>
    </w:p>
    <w:p w:rsidR="000808E0" w:rsidRPr="000808E0" w:rsidRDefault="000808E0" w:rsidP="000808E0">
      <w:pPr>
        <w:shd w:val="clear" w:color="auto" w:fill="FFFFFF"/>
        <w:spacing w:before="240" w:after="240" w:line="240" w:lineRule="auto"/>
        <w:jc w:val="both"/>
        <w:rPr>
          <w:rFonts w:ascii="Source san pro" w:hAnsi="Source san pro"/>
          <w:b/>
          <w:bCs/>
        </w:rPr>
      </w:pPr>
      <w:r w:rsidRPr="000808E0">
        <w:rPr>
          <w:rFonts w:ascii="Source san pro" w:hAnsi="Source san pro"/>
          <w:b/>
          <w:bCs/>
        </w:rPr>
        <w:t>1. Purpose/ objectives</w:t>
      </w:r>
    </w:p>
    <w:p w:rsidR="000808E0" w:rsidRPr="000808E0" w:rsidRDefault="000808E0" w:rsidP="000808E0">
      <w:pPr>
        <w:jc w:val="both"/>
        <w:rPr>
          <w:rFonts w:ascii="Source san pro" w:hAnsi="Source san pro"/>
        </w:rPr>
      </w:pPr>
      <w:r w:rsidRPr="000808E0">
        <w:rPr>
          <w:rFonts w:ascii="Source san pro" w:hAnsi="Source san pro"/>
        </w:rPr>
        <w:t xml:space="preserve">Independent coverage surveys (ICS), also commonly known as post-MDA coverage surveys (or Coverage Evaluation Survey- CES), are to be conducted after MDA implementation for the following purposes, ensuring ethical requirement are met: </w:t>
      </w:r>
    </w:p>
    <w:p w:rsidR="000808E0" w:rsidRPr="000808E0" w:rsidRDefault="000808E0" w:rsidP="000808E0">
      <w:pPr>
        <w:pStyle w:val="ListParagraph"/>
        <w:numPr>
          <w:ilvl w:val="0"/>
          <w:numId w:val="1"/>
        </w:numPr>
        <w:jc w:val="both"/>
        <w:rPr>
          <w:rFonts w:ascii="Source san pro" w:hAnsi="Source san pro"/>
        </w:rPr>
      </w:pPr>
      <w:r w:rsidRPr="000808E0">
        <w:rPr>
          <w:rFonts w:ascii="Source san pro" w:hAnsi="Source san pro"/>
        </w:rPr>
        <w:t>to validate reported coverage</w:t>
      </w:r>
    </w:p>
    <w:p w:rsidR="000808E0" w:rsidRPr="000808E0" w:rsidRDefault="000808E0" w:rsidP="000808E0">
      <w:pPr>
        <w:pStyle w:val="ListParagraph"/>
        <w:numPr>
          <w:ilvl w:val="0"/>
          <w:numId w:val="1"/>
        </w:numPr>
        <w:jc w:val="both"/>
        <w:rPr>
          <w:rFonts w:ascii="Source san pro" w:hAnsi="Source san pro"/>
        </w:rPr>
      </w:pPr>
      <w:r w:rsidRPr="000808E0">
        <w:rPr>
          <w:rFonts w:ascii="Source san pro" w:hAnsi="Source san pro"/>
        </w:rPr>
        <w:t xml:space="preserve">to determine why individuals did, or did not, take part in the MDA by ingesting the drug; </w:t>
      </w:r>
    </w:p>
    <w:p w:rsidR="000808E0" w:rsidRPr="000808E0" w:rsidRDefault="000808E0" w:rsidP="000808E0">
      <w:pPr>
        <w:pStyle w:val="ListParagraph"/>
        <w:numPr>
          <w:ilvl w:val="0"/>
          <w:numId w:val="1"/>
        </w:numPr>
        <w:jc w:val="both"/>
        <w:rPr>
          <w:rFonts w:ascii="Source san pro" w:hAnsi="Source san pro"/>
        </w:rPr>
      </w:pPr>
      <w:r w:rsidRPr="000808E0">
        <w:rPr>
          <w:rFonts w:ascii="Source san pro" w:hAnsi="Source san pro"/>
        </w:rPr>
        <w:t xml:space="preserve">to identify adverse and serious adverse events (SAEs); </w:t>
      </w:r>
    </w:p>
    <w:p w:rsidR="000808E0" w:rsidRPr="000808E0" w:rsidRDefault="000808E0" w:rsidP="000808E0">
      <w:pPr>
        <w:pStyle w:val="ListParagraph"/>
        <w:numPr>
          <w:ilvl w:val="0"/>
          <w:numId w:val="1"/>
        </w:numPr>
        <w:jc w:val="both"/>
        <w:rPr>
          <w:rFonts w:ascii="Source san pro" w:hAnsi="Source san pro"/>
        </w:rPr>
      </w:pPr>
      <w:r w:rsidRPr="000808E0">
        <w:rPr>
          <w:rFonts w:ascii="Source san pro" w:hAnsi="Source san pro"/>
        </w:rPr>
        <w:t>to capture information about the knowledge, attitudes, and practices (KAP) of community members around NTDs</w:t>
      </w:r>
    </w:p>
    <w:p w:rsidR="000808E0" w:rsidRPr="000808E0" w:rsidRDefault="000808E0" w:rsidP="000808E0">
      <w:pPr>
        <w:pStyle w:val="ListParagraph"/>
        <w:numPr>
          <w:ilvl w:val="0"/>
          <w:numId w:val="1"/>
        </w:numPr>
        <w:jc w:val="both"/>
        <w:rPr>
          <w:rFonts w:ascii="Source san pro" w:hAnsi="Source san pro"/>
        </w:rPr>
      </w:pPr>
      <w:r w:rsidRPr="000808E0">
        <w:rPr>
          <w:rFonts w:ascii="Source san pro" w:hAnsi="Source san pro"/>
        </w:rPr>
        <w:t>to gather vital programmatic information on BCC/IEC, LNOB, Gender and many others</w:t>
      </w:r>
    </w:p>
    <w:p w:rsidR="000808E0" w:rsidRPr="000808E0" w:rsidRDefault="000808E0" w:rsidP="000808E0">
      <w:pPr>
        <w:pStyle w:val="ListParagraph"/>
        <w:numPr>
          <w:ilvl w:val="0"/>
          <w:numId w:val="1"/>
        </w:numPr>
        <w:jc w:val="both"/>
        <w:rPr>
          <w:rFonts w:ascii="Source san pro" w:hAnsi="Source san pro"/>
        </w:rPr>
      </w:pPr>
      <w:r w:rsidRPr="000808E0">
        <w:rPr>
          <w:rFonts w:ascii="Source san pro" w:hAnsi="Source san pro"/>
        </w:rPr>
        <w:t>to know the level of application of COVID-19 preventive measures?</w:t>
      </w:r>
    </w:p>
    <w:p w:rsidR="000808E0" w:rsidRPr="000808E0" w:rsidRDefault="000808E0" w:rsidP="000808E0">
      <w:pPr>
        <w:shd w:val="clear" w:color="auto" w:fill="FFFFFF"/>
        <w:spacing w:before="240" w:after="240" w:line="240" w:lineRule="auto"/>
        <w:jc w:val="both"/>
        <w:rPr>
          <w:rFonts w:ascii="Source san pro" w:hAnsi="Source san pro"/>
          <w:b/>
          <w:bCs/>
        </w:rPr>
      </w:pPr>
      <w:r w:rsidRPr="000808E0">
        <w:rPr>
          <w:rFonts w:ascii="Source san pro" w:hAnsi="Source san pro"/>
          <w:b/>
          <w:bCs/>
        </w:rPr>
        <w:t xml:space="preserve">2. Deliverables, methodology, timeframe and duration </w:t>
      </w:r>
    </w:p>
    <w:p w:rsidR="000808E0" w:rsidRPr="000808E0" w:rsidRDefault="000808E0" w:rsidP="000808E0">
      <w:pPr>
        <w:shd w:val="clear" w:color="auto" w:fill="FFFFFF"/>
        <w:spacing w:before="240" w:after="240" w:line="240" w:lineRule="auto"/>
        <w:jc w:val="both"/>
        <w:rPr>
          <w:rFonts w:ascii="Source san pro" w:hAnsi="Source san pro"/>
        </w:rPr>
      </w:pPr>
      <w:r w:rsidRPr="000808E0">
        <w:rPr>
          <w:rFonts w:ascii="Source san pro" w:hAnsi="Source san pro"/>
        </w:rPr>
        <w:t xml:space="preserve">The deliverable is the report that the consultant will provide at the end of the consultancy. Methodology: </w:t>
      </w:r>
    </w:p>
    <w:p w:rsidR="000808E0" w:rsidRPr="000808E0" w:rsidRDefault="000808E0" w:rsidP="000808E0">
      <w:pPr>
        <w:pStyle w:val="ListParagraph"/>
        <w:numPr>
          <w:ilvl w:val="0"/>
          <w:numId w:val="2"/>
        </w:numPr>
        <w:shd w:val="clear" w:color="auto" w:fill="FFFFFF"/>
        <w:spacing w:before="240" w:after="240" w:line="240" w:lineRule="auto"/>
        <w:jc w:val="both"/>
        <w:rPr>
          <w:rFonts w:ascii="Source san pro" w:hAnsi="Source san pro"/>
        </w:rPr>
      </w:pPr>
      <w:r w:rsidRPr="000808E0">
        <w:rPr>
          <w:rFonts w:ascii="Source san pro" w:hAnsi="Source san pro"/>
        </w:rPr>
        <w:t xml:space="preserve">Elaborating the survey protocol in collaboration with CBM and </w:t>
      </w:r>
      <w:proofErr w:type="spellStart"/>
      <w:r w:rsidRPr="000808E0">
        <w:rPr>
          <w:rFonts w:ascii="Source san pro" w:hAnsi="Source san pro"/>
        </w:rPr>
        <w:t>MoH</w:t>
      </w:r>
      <w:proofErr w:type="spellEnd"/>
      <w:r w:rsidRPr="000808E0">
        <w:rPr>
          <w:rFonts w:ascii="Source san pro" w:hAnsi="Source san pro"/>
        </w:rPr>
        <w:t>;</w:t>
      </w:r>
    </w:p>
    <w:p w:rsidR="000808E0" w:rsidRPr="000808E0" w:rsidRDefault="000808E0" w:rsidP="000808E0">
      <w:pPr>
        <w:pStyle w:val="ListParagraph"/>
        <w:numPr>
          <w:ilvl w:val="0"/>
          <w:numId w:val="2"/>
        </w:numPr>
        <w:shd w:val="clear" w:color="auto" w:fill="FFFFFF"/>
        <w:spacing w:before="240" w:after="240" w:line="240" w:lineRule="auto"/>
        <w:jc w:val="both"/>
        <w:rPr>
          <w:rFonts w:ascii="Source san pro" w:hAnsi="Source san pro"/>
        </w:rPr>
      </w:pPr>
      <w:r w:rsidRPr="000808E0">
        <w:rPr>
          <w:rFonts w:ascii="Source san pro" w:hAnsi="Source san pro"/>
        </w:rPr>
        <w:t>Training of surveyors on the protocol and use of equipment, including field test.</w:t>
      </w:r>
    </w:p>
    <w:p w:rsidR="000808E0" w:rsidRPr="000808E0" w:rsidRDefault="000808E0" w:rsidP="000808E0">
      <w:pPr>
        <w:pStyle w:val="ListParagraph"/>
        <w:numPr>
          <w:ilvl w:val="0"/>
          <w:numId w:val="2"/>
        </w:numPr>
        <w:shd w:val="clear" w:color="auto" w:fill="FFFFFF"/>
        <w:spacing w:before="240" w:after="240" w:line="240" w:lineRule="auto"/>
        <w:jc w:val="both"/>
        <w:rPr>
          <w:rFonts w:ascii="Source san pro" w:hAnsi="Source san pro"/>
        </w:rPr>
      </w:pPr>
      <w:r w:rsidRPr="000808E0">
        <w:rPr>
          <w:rFonts w:ascii="Source san pro" w:hAnsi="Source san pro"/>
        </w:rPr>
        <w:t xml:space="preserve">Field testing of the protocol and revue of the protocol if required. </w:t>
      </w:r>
    </w:p>
    <w:p w:rsidR="000808E0" w:rsidRPr="000808E0" w:rsidRDefault="000808E0" w:rsidP="000808E0">
      <w:pPr>
        <w:pStyle w:val="ListParagraph"/>
        <w:numPr>
          <w:ilvl w:val="0"/>
          <w:numId w:val="2"/>
        </w:numPr>
        <w:shd w:val="clear" w:color="auto" w:fill="FFFFFF"/>
        <w:spacing w:before="240" w:after="240" w:line="240" w:lineRule="auto"/>
        <w:jc w:val="both"/>
        <w:rPr>
          <w:rFonts w:ascii="Source san pro" w:hAnsi="Source san pro"/>
        </w:rPr>
      </w:pPr>
      <w:r w:rsidRPr="000808E0">
        <w:rPr>
          <w:rFonts w:ascii="Source san pro" w:hAnsi="Source san pro"/>
        </w:rPr>
        <w:t xml:space="preserve">Analyzing the collected data </w:t>
      </w:r>
    </w:p>
    <w:p w:rsidR="000808E0" w:rsidRPr="000808E0" w:rsidRDefault="000808E0" w:rsidP="000808E0">
      <w:pPr>
        <w:pStyle w:val="ListParagraph"/>
        <w:numPr>
          <w:ilvl w:val="0"/>
          <w:numId w:val="2"/>
        </w:numPr>
        <w:shd w:val="clear" w:color="auto" w:fill="FFFFFF"/>
        <w:spacing w:before="240" w:after="240" w:line="240" w:lineRule="auto"/>
        <w:jc w:val="both"/>
        <w:rPr>
          <w:rFonts w:ascii="Source san pro" w:hAnsi="Source san pro"/>
        </w:rPr>
      </w:pPr>
      <w:r w:rsidRPr="000808E0">
        <w:rPr>
          <w:rFonts w:ascii="Source san pro" w:hAnsi="Source san pro"/>
        </w:rPr>
        <w:t xml:space="preserve">Providing feedback and the draft report to CBM - Submission of the final report </w:t>
      </w:r>
    </w:p>
    <w:p w:rsidR="000808E0" w:rsidRPr="000808E0" w:rsidRDefault="000808E0" w:rsidP="000808E0">
      <w:pPr>
        <w:pStyle w:val="ListParagraph"/>
        <w:numPr>
          <w:ilvl w:val="0"/>
          <w:numId w:val="2"/>
        </w:numPr>
        <w:shd w:val="clear" w:color="auto" w:fill="FFFFFF"/>
        <w:spacing w:before="240" w:after="240" w:line="240" w:lineRule="auto"/>
        <w:jc w:val="both"/>
        <w:rPr>
          <w:rFonts w:ascii="Source san pro" w:hAnsi="Source san pro"/>
        </w:rPr>
      </w:pPr>
      <w:r w:rsidRPr="000808E0">
        <w:rPr>
          <w:rFonts w:ascii="Source san pro" w:hAnsi="Source san pro"/>
        </w:rPr>
        <w:lastRenderedPageBreak/>
        <w:t xml:space="preserve">Presentation of the ICS findings during relevant NTD review meeting. </w:t>
      </w:r>
    </w:p>
    <w:p w:rsidR="000808E0" w:rsidRPr="000808E0" w:rsidRDefault="000808E0" w:rsidP="000808E0">
      <w:pPr>
        <w:shd w:val="clear" w:color="auto" w:fill="FFFFFF"/>
        <w:spacing w:before="240" w:after="240" w:line="240" w:lineRule="auto"/>
        <w:jc w:val="both"/>
        <w:rPr>
          <w:rFonts w:ascii="Source san pro" w:hAnsi="Source san pro"/>
        </w:rPr>
      </w:pPr>
      <w:r w:rsidRPr="000808E0">
        <w:rPr>
          <w:rFonts w:ascii="Source san pro" w:hAnsi="Source san pro"/>
        </w:rPr>
        <w:t xml:space="preserve">The timeframe/duration: </w:t>
      </w:r>
    </w:p>
    <w:p w:rsidR="000808E0" w:rsidRPr="000808E0" w:rsidRDefault="000808E0" w:rsidP="000808E0">
      <w:pPr>
        <w:shd w:val="clear" w:color="auto" w:fill="FFFFFF"/>
        <w:spacing w:before="240" w:after="240" w:line="240" w:lineRule="auto"/>
        <w:jc w:val="both"/>
        <w:rPr>
          <w:rFonts w:ascii="Source san pro" w:hAnsi="Source san pro"/>
        </w:rPr>
      </w:pPr>
      <w:r w:rsidRPr="000808E0">
        <w:rPr>
          <w:rFonts w:ascii="Source san pro" w:hAnsi="Source san pro"/>
        </w:rPr>
        <w:t xml:space="preserve">The Consultant will carry out the ICS training in April/May 2021, starting with a 3-day theory training of surveyors followed by a 2-day test of the ICS training in the field. The consultant will then analyze the data collected and provide the final report within a period of 2 months. </w:t>
      </w:r>
    </w:p>
    <w:p w:rsidR="000808E0" w:rsidRPr="000808E0" w:rsidRDefault="000808E0" w:rsidP="000808E0">
      <w:pPr>
        <w:shd w:val="clear" w:color="auto" w:fill="FFFFFF"/>
        <w:spacing w:before="240" w:after="240" w:line="240" w:lineRule="auto"/>
        <w:jc w:val="both"/>
        <w:rPr>
          <w:rFonts w:ascii="Source san pro" w:hAnsi="Source san pro"/>
          <w:b/>
          <w:bCs/>
        </w:rPr>
      </w:pPr>
      <w:r w:rsidRPr="000808E0">
        <w:rPr>
          <w:rFonts w:ascii="Source san pro" w:hAnsi="Source san pro"/>
          <w:b/>
          <w:bCs/>
        </w:rPr>
        <w:t xml:space="preserve">3. Place /location of service delivered. </w:t>
      </w:r>
    </w:p>
    <w:p w:rsidR="000808E0" w:rsidRPr="000808E0" w:rsidRDefault="000808E0" w:rsidP="000808E0">
      <w:pPr>
        <w:shd w:val="clear" w:color="auto" w:fill="FFFFFF"/>
        <w:spacing w:before="240" w:after="240" w:line="240" w:lineRule="auto"/>
        <w:jc w:val="both"/>
        <w:rPr>
          <w:rFonts w:ascii="Source san pro" w:hAnsi="Source san pro"/>
        </w:rPr>
      </w:pPr>
      <w:r w:rsidRPr="000808E0">
        <w:rPr>
          <w:rFonts w:ascii="Source san pro" w:hAnsi="Source san pro"/>
        </w:rPr>
        <w:t xml:space="preserve">The consultant will train the surveyors in Juba, South Sudan and lead the field-testing in Juba County. </w:t>
      </w:r>
    </w:p>
    <w:p w:rsidR="000808E0" w:rsidRPr="000808E0" w:rsidRDefault="000808E0" w:rsidP="000808E0">
      <w:pPr>
        <w:shd w:val="clear" w:color="auto" w:fill="FFFFFF"/>
        <w:spacing w:before="240" w:after="240" w:line="240" w:lineRule="auto"/>
        <w:jc w:val="both"/>
        <w:rPr>
          <w:rFonts w:ascii="Source san pro" w:hAnsi="Source san pro"/>
        </w:rPr>
      </w:pPr>
      <w:r w:rsidRPr="000808E0">
        <w:rPr>
          <w:rFonts w:ascii="Source san pro" w:hAnsi="Source san pro"/>
        </w:rPr>
        <w:t xml:space="preserve">Implementation of the ICS in 9 counties, selected through the WHO recommended sampling method. </w:t>
      </w:r>
    </w:p>
    <w:p w:rsidR="000808E0" w:rsidRPr="000808E0" w:rsidRDefault="000808E0" w:rsidP="000808E0">
      <w:pPr>
        <w:shd w:val="clear" w:color="auto" w:fill="FFFFFF"/>
        <w:spacing w:before="240" w:after="240" w:line="240" w:lineRule="auto"/>
        <w:jc w:val="both"/>
        <w:rPr>
          <w:rFonts w:ascii="Source san pro" w:hAnsi="Source san pro"/>
          <w:b/>
          <w:bCs/>
        </w:rPr>
      </w:pPr>
      <w:r w:rsidRPr="000808E0">
        <w:rPr>
          <w:rFonts w:ascii="Source san pro" w:hAnsi="Source san pro"/>
          <w:b/>
          <w:bCs/>
        </w:rPr>
        <w:t xml:space="preserve">4. Who accesses deliverables of the consultancy and who benefits from the results </w:t>
      </w:r>
    </w:p>
    <w:p w:rsidR="000808E0" w:rsidRPr="000808E0" w:rsidRDefault="000808E0" w:rsidP="000808E0">
      <w:pPr>
        <w:shd w:val="clear" w:color="auto" w:fill="FFFFFF"/>
        <w:spacing w:before="240" w:after="240" w:line="240" w:lineRule="auto"/>
        <w:jc w:val="both"/>
        <w:rPr>
          <w:rFonts w:ascii="Source san pro" w:hAnsi="Source san pro"/>
        </w:rPr>
      </w:pPr>
      <w:r w:rsidRPr="000808E0">
        <w:rPr>
          <w:rFonts w:ascii="Source san pro" w:hAnsi="Source san pro"/>
        </w:rPr>
        <w:t xml:space="preserve">The survey report will be delivered to the CBM NTD Programme Manager who will share it with the </w:t>
      </w:r>
      <w:proofErr w:type="spellStart"/>
      <w:r w:rsidRPr="000808E0">
        <w:rPr>
          <w:rFonts w:ascii="Source san pro" w:hAnsi="Source san pro"/>
        </w:rPr>
        <w:t>MoH</w:t>
      </w:r>
      <w:proofErr w:type="spellEnd"/>
      <w:r w:rsidRPr="000808E0">
        <w:rPr>
          <w:rFonts w:ascii="Source san pro" w:hAnsi="Source san pro"/>
        </w:rPr>
        <w:t xml:space="preserve"> National NTD Coordination and other stakeholders, such as ASCEND/Crown Agents, ENDFUND and MDP. </w:t>
      </w:r>
    </w:p>
    <w:p w:rsidR="000808E0" w:rsidRPr="000808E0" w:rsidRDefault="000808E0" w:rsidP="000808E0">
      <w:pPr>
        <w:shd w:val="clear" w:color="auto" w:fill="FFFFFF"/>
        <w:spacing w:before="240" w:after="240" w:line="240" w:lineRule="auto"/>
        <w:jc w:val="both"/>
        <w:rPr>
          <w:rFonts w:ascii="Source san pro" w:hAnsi="Source san pro"/>
          <w:b/>
          <w:bCs/>
        </w:rPr>
      </w:pPr>
      <w:r w:rsidRPr="000808E0">
        <w:rPr>
          <w:rFonts w:ascii="Source san pro" w:hAnsi="Source san pro"/>
          <w:b/>
          <w:bCs/>
        </w:rPr>
        <w:t xml:space="preserve">5. Required Expert Profile </w:t>
      </w:r>
    </w:p>
    <w:p w:rsidR="000808E0" w:rsidRPr="000808E0" w:rsidRDefault="000808E0" w:rsidP="000808E0">
      <w:pPr>
        <w:pStyle w:val="ListParagraph"/>
        <w:numPr>
          <w:ilvl w:val="0"/>
          <w:numId w:val="3"/>
        </w:numPr>
        <w:shd w:val="clear" w:color="auto" w:fill="FFFFFF"/>
        <w:spacing w:before="240" w:after="240" w:line="240" w:lineRule="auto"/>
        <w:jc w:val="both"/>
        <w:rPr>
          <w:rFonts w:ascii="Source san pro" w:eastAsia="Times New Roman" w:hAnsi="Source san pro" w:cs="Times New Roman"/>
          <w:color w:val="2E3436"/>
          <w:spacing w:val="3"/>
          <w:sz w:val="24"/>
          <w:szCs w:val="24"/>
          <w:lang w:val="en-GB" w:eastAsia="de-DE"/>
        </w:rPr>
      </w:pPr>
      <w:r w:rsidRPr="000808E0">
        <w:rPr>
          <w:rFonts w:ascii="Source san pro" w:hAnsi="Source san pro"/>
        </w:rPr>
        <w:t xml:space="preserve">Data manager and analyst, with a minimum of 8 years of relevant professional experience in data collection, monitoring and evaluation </w:t>
      </w:r>
    </w:p>
    <w:p w:rsidR="000808E0" w:rsidRPr="000808E0" w:rsidRDefault="000808E0" w:rsidP="000808E0">
      <w:pPr>
        <w:pStyle w:val="ListParagraph"/>
        <w:numPr>
          <w:ilvl w:val="0"/>
          <w:numId w:val="3"/>
        </w:numPr>
        <w:shd w:val="clear" w:color="auto" w:fill="FFFFFF"/>
        <w:spacing w:before="240" w:after="240" w:line="240" w:lineRule="auto"/>
        <w:jc w:val="both"/>
        <w:rPr>
          <w:rFonts w:ascii="Source san pro" w:eastAsia="Times New Roman" w:hAnsi="Source san pro" w:cs="Times New Roman"/>
          <w:color w:val="2E3436"/>
          <w:spacing w:val="3"/>
          <w:sz w:val="24"/>
          <w:szCs w:val="24"/>
          <w:lang w:val="en-GB" w:eastAsia="de-DE"/>
        </w:rPr>
      </w:pPr>
      <w:r w:rsidRPr="000808E0">
        <w:rPr>
          <w:rFonts w:ascii="Source san pro" w:hAnsi="Source san pro"/>
        </w:rPr>
        <w:t xml:space="preserve">Knowledge of South Sudan health sector data systems, incl. NTD data </w:t>
      </w:r>
    </w:p>
    <w:p w:rsidR="000808E0" w:rsidRPr="000808E0" w:rsidRDefault="000808E0" w:rsidP="000808E0">
      <w:pPr>
        <w:pStyle w:val="ListParagraph"/>
        <w:numPr>
          <w:ilvl w:val="0"/>
          <w:numId w:val="3"/>
        </w:numPr>
        <w:shd w:val="clear" w:color="auto" w:fill="FFFFFF"/>
        <w:spacing w:before="240" w:after="240" w:line="240" w:lineRule="auto"/>
        <w:jc w:val="both"/>
        <w:rPr>
          <w:rFonts w:ascii="Source san pro" w:eastAsia="Times New Roman" w:hAnsi="Source san pro" w:cs="Times New Roman"/>
          <w:color w:val="2E3436"/>
          <w:spacing w:val="3"/>
          <w:sz w:val="24"/>
          <w:szCs w:val="24"/>
          <w:lang w:val="en-GB" w:eastAsia="de-DE"/>
        </w:rPr>
      </w:pPr>
      <w:r w:rsidRPr="000808E0">
        <w:rPr>
          <w:rFonts w:ascii="Source san pro" w:hAnsi="Source san pro"/>
        </w:rPr>
        <w:t xml:space="preserve">Competency on capacity development for data collection and management </w:t>
      </w:r>
    </w:p>
    <w:p w:rsidR="000808E0" w:rsidRPr="000808E0" w:rsidRDefault="000808E0" w:rsidP="000808E0">
      <w:pPr>
        <w:pStyle w:val="ListParagraph"/>
        <w:numPr>
          <w:ilvl w:val="0"/>
          <w:numId w:val="3"/>
        </w:numPr>
        <w:shd w:val="clear" w:color="auto" w:fill="FFFFFF"/>
        <w:spacing w:before="240" w:after="240" w:line="240" w:lineRule="auto"/>
        <w:jc w:val="both"/>
        <w:rPr>
          <w:rFonts w:ascii="Source san pro" w:eastAsia="Times New Roman" w:hAnsi="Source san pro" w:cs="Times New Roman"/>
          <w:color w:val="2E3436"/>
          <w:spacing w:val="3"/>
          <w:sz w:val="24"/>
          <w:szCs w:val="24"/>
          <w:lang w:val="en-GB" w:eastAsia="de-DE"/>
        </w:rPr>
      </w:pPr>
      <w:r w:rsidRPr="000808E0">
        <w:rPr>
          <w:rFonts w:ascii="Source san pro" w:hAnsi="Source san pro"/>
        </w:rPr>
        <w:t xml:space="preserve">Competency on applying statistical software, such as MS Access and QGIS </w:t>
      </w:r>
    </w:p>
    <w:p w:rsidR="000808E0" w:rsidRPr="000808E0" w:rsidRDefault="000808E0" w:rsidP="000808E0">
      <w:pPr>
        <w:pStyle w:val="ListParagraph"/>
        <w:numPr>
          <w:ilvl w:val="0"/>
          <w:numId w:val="3"/>
        </w:numPr>
        <w:shd w:val="clear" w:color="auto" w:fill="FFFFFF"/>
        <w:spacing w:before="240" w:after="240" w:line="240" w:lineRule="auto"/>
        <w:jc w:val="both"/>
        <w:rPr>
          <w:rFonts w:ascii="Source san pro" w:eastAsia="Times New Roman" w:hAnsi="Source san pro" w:cs="Times New Roman"/>
          <w:color w:val="2E3436"/>
          <w:spacing w:val="3"/>
          <w:sz w:val="24"/>
          <w:szCs w:val="24"/>
          <w:lang w:val="en-GB" w:eastAsia="de-DE"/>
        </w:rPr>
      </w:pPr>
      <w:r w:rsidRPr="000808E0">
        <w:rPr>
          <w:rFonts w:ascii="Source san pro" w:hAnsi="Source san pro"/>
        </w:rPr>
        <w:t xml:space="preserve"> Ability to analyze data and write a respective report.</w:t>
      </w:r>
    </w:p>
    <w:p w:rsidR="000808E0" w:rsidRPr="000808E0" w:rsidRDefault="000808E0" w:rsidP="000808E0">
      <w:pPr>
        <w:pStyle w:val="NoSpacing"/>
        <w:pBdr>
          <w:bottom w:val="single" w:sz="4" w:space="1" w:color="auto"/>
        </w:pBdr>
        <w:jc w:val="both"/>
        <w:rPr>
          <w:rFonts w:ascii="Source san pro" w:hAnsi="Source san pro" w:cs="Times New Roman"/>
          <w:b/>
          <w:bCs/>
          <w:color w:val="002060"/>
          <w:sz w:val="32"/>
          <w:szCs w:val="32"/>
        </w:rPr>
      </w:pPr>
    </w:p>
    <w:p w:rsidR="000808E0" w:rsidRPr="000808E0" w:rsidRDefault="000808E0" w:rsidP="000808E0">
      <w:pPr>
        <w:pStyle w:val="NoSpacing"/>
        <w:pBdr>
          <w:bottom w:val="single" w:sz="4" w:space="1" w:color="auto"/>
        </w:pBdr>
        <w:jc w:val="both"/>
        <w:rPr>
          <w:rFonts w:ascii="Source san pro" w:hAnsi="Source san pro"/>
          <w:b/>
          <w:bCs/>
        </w:rPr>
      </w:pPr>
      <w:r w:rsidRPr="000808E0">
        <w:rPr>
          <w:rFonts w:ascii="Source san pro" w:hAnsi="Source san pro"/>
          <w:b/>
          <w:bCs/>
        </w:rPr>
        <w:t>6. Expression of Interest</w:t>
      </w:r>
    </w:p>
    <w:p w:rsidR="000808E0" w:rsidRPr="000808E0" w:rsidRDefault="000808E0" w:rsidP="000808E0">
      <w:pPr>
        <w:pStyle w:val="NoSpacing"/>
        <w:pBdr>
          <w:bottom w:val="single" w:sz="4" w:space="1" w:color="auto"/>
        </w:pBdr>
        <w:jc w:val="both"/>
        <w:rPr>
          <w:rFonts w:ascii="Source san pro" w:hAnsi="Source san pro"/>
          <w:b/>
          <w:bCs/>
        </w:rPr>
      </w:pPr>
    </w:p>
    <w:p w:rsidR="000808E0" w:rsidRPr="000808E0" w:rsidRDefault="000808E0" w:rsidP="000808E0">
      <w:pPr>
        <w:pStyle w:val="NoSpacing"/>
        <w:pBdr>
          <w:bottom w:val="single" w:sz="4" w:space="1" w:color="auto"/>
        </w:pBdr>
        <w:jc w:val="both"/>
        <w:rPr>
          <w:rFonts w:ascii="Source san pro" w:hAnsi="Source san pro"/>
        </w:rPr>
      </w:pPr>
      <w:r w:rsidRPr="000808E0">
        <w:rPr>
          <w:rFonts w:ascii="Source san pro" w:hAnsi="Source san pro"/>
        </w:rPr>
        <w:t xml:space="preserve">Applicants should submit an Expression of Interest, including consultants’ organizational profile, reference and expected fees as well as anything else that you would like to share. </w:t>
      </w:r>
    </w:p>
    <w:p w:rsidR="000808E0" w:rsidRPr="000808E0" w:rsidRDefault="000808E0" w:rsidP="000808E0">
      <w:pPr>
        <w:pStyle w:val="NoSpacing"/>
        <w:pBdr>
          <w:bottom w:val="single" w:sz="4" w:space="1" w:color="auto"/>
        </w:pBdr>
        <w:jc w:val="both"/>
        <w:rPr>
          <w:rFonts w:ascii="Source san pro" w:hAnsi="Source san pro"/>
        </w:rPr>
      </w:pPr>
    </w:p>
    <w:p w:rsidR="000808E0" w:rsidRPr="000808E0" w:rsidRDefault="000808E0" w:rsidP="000808E0">
      <w:pPr>
        <w:pStyle w:val="NoSpacing"/>
        <w:pBdr>
          <w:bottom w:val="single" w:sz="4" w:space="1" w:color="auto"/>
        </w:pBdr>
        <w:shd w:val="clear" w:color="auto" w:fill="FFFFFF" w:themeFill="background1"/>
        <w:jc w:val="both"/>
        <w:rPr>
          <w:rFonts w:ascii="Source san pro" w:hAnsi="Source san pro"/>
          <w:sz w:val="20"/>
          <w:szCs w:val="20"/>
        </w:rPr>
      </w:pPr>
      <w:r w:rsidRPr="000808E0">
        <w:rPr>
          <w:rFonts w:ascii="Source san pro" w:hAnsi="Source san pro"/>
        </w:rPr>
        <w:t>The Expression of Intere</w:t>
      </w:r>
      <w:r w:rsidR="004E7F35">
        <w:rPr>
          <w:rFonts w:ascii="Source san pro" w:hAnsi="Source san pro"/>
        </w:rPr>
        <w:t>st should be sent by February 23</w:t>
      </w:r>
      <w:bookmarkStart w:id="0" w:name="_GoBack"/>
      <w:bookmarkEnd w:id="0"/>
      <w:r w:rsidRPr="000808E0">
        <w:rPr>
          <w:rFonts w:ascii="Source san pro" w:hAnsi="Source san pro"/>
        </w:rPr>
        <w:t xml:space="preserve">, 2021 to </w:t>
      </w:r>
      <w:hyperlink r:id="rId6" w:history="1">
        <w:r w:rsidRPr="000808E0">
          <w:rPr>
            <w:rStyle w:val="Hyperlink"/>
            <w:rFonts w:ascii="Source san pro" w:hAnsi="Source san pro"/>
          </w:rPr>
          <w:t>recruit.nairobi@cbm.org</w:t>
        </w:r>
      </w:hyperlink>
    </w:p>
    <w:p w:rsidR="000808E0" w:rsidRPr="000808E0" w:rsidRDefault="000808E0" w:rsidP="000808E0">
      <w:pPr>
        <w:pStyle w:val="NoSpacing"/>
        <w:pBdr>
          <w:bottom w:val="single" w:sz="4" w:space="1" w:color="auto"/>
        </w:pBdr>
        <w:jc w:val="both"/>
        <w:rPr>
          <w:rFonts w:ascii="Source san pro" w:hAnsi="Source san pro"/>
        </w:rPr>
      </w:pPr>
    </w:p>
    <w:p w:rsidR="000808E0" w:rsidRPr="000808E0" w:rsidRDefault="000808E0" w:rsidP="000808E0">
      <w:pPr>
        <w:pStyle w:val="NoSpacing"/>
        <w:pBdr>
          <w:bottom w:val="single" w:sz="4" w:space="1" w:color="auto"/>
        </w:pBdr>
        <w:jc w:val="both"/>
        <w:rPr>
          <w:rFonts w:ascii="Source san pro" w:hAnsi="Source san pro" w:cs="Times New Roman"/>
        </w:rPr>
      </w:pPr>
      <w:r w:rsidRPr="000808E0">
        <w:rPr>
          <w:rFonts w:ascii="Source san pro" w:hAnsi="Source san pro" w:cs="Times New Roman"/>
        </w:rPr>
        <w:t xml:space="preserve">National candidates including academic institutions are encouraged to express their interest.  </w:t>
      </w:r>
    </w:p>
    <w:p w:rsidR="000808E0" w:rsidRPr="000808E0" w:rsidRDefault="000808E0" w:rsidP="000808E0">
      <w:pPr>
        <w:pStyle w:val="NoSpacing"/>
        <w:pBdr>
          <w:bottom w:val="single" w:sz="4" w:space="1" w:color="auto"/>
        </w:pBdr>
        <w:jc w:val="both"/>
        <w:rPr>
          <w:rFonts w:ascii="Source san pro" w:hAnsi="Source san pro" w:cs="Times New Roman"/>
          <w:b/>
          <w:bCs/>
          <w:color w:val="002060"/>
          <w:sz w:val="32"/>
          <w:szCs w:val="32"/>
        </w:rPr>
      </w:pPr>
    </w:p>
    <w:p w:rsidR="000808E0" w:rsidRPr="000808E0" w:rsidRDefault="000808E0" w:rsidP="000808E0">
      <w:pPr>
        <w:pStyle w:val="NoSpacing"/>
        <w:pBdr>
          <w:bottom w:val="single" w:sz="4" w:space="1" w:color="auto"/>
        </w:pBdr>
        <w:jc w:val="both"/>
        <w:rPr>
          <w:rFonts w:ascii="Source san pro" w:hAnsi="Source san pro"/>
        </w:rPr>
      </w:pPr>
    </w:p>
    <w:p w:rsidR="000808E0" w:rsidRPr="000808E0" w:rsidRDefault="000808E0" w:rsidP="000808E0">
      <w:pPr>
        <w:pStyle w:val="Default"/>
        <w:jc w:val="both"/>
        <w:rPr>
          <w:rFonts w:ascii="Source san pro" w:hAnsi="Source san pro"/>
          <w:i/>
          <w:iCs/>
          <w:color w:val="5B9BD5" w:themeColor="accent1"/>
          <w:sz w:val="22"/>
          <w:szCs w:val="22"/>
          <w:lang w:val="en-GB"/>
        </w:rPr>
      </w:pPr>
      <w:r w:rsidRPr="000808E0">
        <w:rPr>
          <w:rFonts w:ascii="Source san pro" w:hAnsi="Source san pro"/>
          <w:i/>
          <w:iCs/>
          <w:color w:val="5B9BD5" w:themeColor="accent1"/>
          <w:sz w:val="22"/>
          <w:szCs w:val="22"/>
          <w:lang w:val="en-GB"/>
        </w:rPr>
        <w:t>WHO guidelines for safe population-based surveys and the National guidelines for COVID-19 mitigation have to be adhered to.</w:t>
      </w:r>
    </w:p>
    <w:p w:rsidR="006840D4" w:rsidRPr="000808E0" w:rsidRDefault="006840D4">
      <w:pPr>
        <w:rPr>
          <w:rFonts w:ascii="Source san pro" w:hAnsi="Source san pro"/>
        </w:rPr>
      </w:pPr>
    </w:p>
    <w:sectPr w:rsidR="006840D4" w:rsidRPr="000808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 pro">
    <w:altName w:val="Times New Roman"/>
    <w:panose1 w:val="00000000000000000000"/>
    <w:charset w:val="00"/>
    <w:family w:val="roman"/>
    <w:notTrueType/>
    <w:pitch w:val="default"/>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BAA"/>
    <w:multiLevelType w:val="hybridMultilevel"/>
    <w:tmpl w:val="4CA60B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50608"/>
    <w:multiLevelType w:val="hybridMultilevel"/>
    <w:tmpl w:val="08E4899A"/>
    <w:lvl w:ilvl="0" w:tplc="0409001B">
      <w:start w:val="1"/>
      <w:numFmt w:val="lowerRoman"/>
      <w:lvlText w:val="%1."/>
      <w:lvlJc w:val="righ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11192E"/>
    <w:multiLevelType w:val="hybridMultilevel"/>
    <w:tmpl w:val="567E817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09B74CB"/>
    <w:multiLevelType w:val="hybridMultilevel"/>
    <w:tmpl w:val="D17E7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8E0"/>
    <w:rsid w:val="000518F4"/>
    <w:rsid w:val="000808E0"/>
    <w:rsid w:val="004E7F35"/>
    <w:rsid w:val="006840D4"/>
    <w:rsid w:val="00750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2431"/>
  <w15:chartTrackingRefBased/>
  <w15:docId w15:val="{10708660-5BB0-4315-8F92-340D4EDC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8E0"/>
    <w:pPr>
      <w:ind w:left="720"/>
      <w:contextualSpacing/>
    </w:pPr>
  </w:style>
  <w:style w:type="paragraph" w:styleId="NoSpacing">
    <w:name w:val="No Spacing"/>
    <w:uiPriority w:val="1"/>
    <w:qFormat/>
    <w:rsid w:val="000808E0"/>
    <w:pPr>
      <w:spacing w:after="0" w:line="240" w:lineRule="auto"/>
    </w:pPr>
  </w:style>
  <w:style w:type="character" w:styleId="Hyperlink">
    <w:name w:val="Hyperlink"/>
    <w:basedOn w:val="DefaultParagraphFont"/>
    <w:uiPriority w:val="99"/>
    <w:unhideWhenUsed/>
    <w:rsid w:val="000808E0"/>
    <w:rPr>
      <w:color w:val="0000FF"/>
      <w:u w:val="single"/>
    </w:rPr>
  </w:style>
  <w:style w:type="paragraph" w:customStyle="1" w:styleId="Default">
    <w:name w:val="Default"/>
    <w:rsid w:val="000808E0"/>
    <w:pPr>
      <w:autoSpaceDE w:val="0"/>
      <w:autoSpaceDN w:val="0"/>
      <w:adjustRightInd w:val="0"/>
      <w:spacing w:after="0" w:line="240" w:lineRule="auto"/>
    </w:pPr>
    <w:rPr>
      <w:rFonts w:ascii="Verdana" w:hAnsi="Verdana" w:cs="Verdana"/>
      <w:color w:val="000000"/>
      <w:sz w:val="24"/>
      <w:szCs w:val="24"/>
      <w:lang w:val="de-DE"/>
    </w:rPr>
  </w:style>
  <w:style w:type="paragraph" w:styleId="NormalWeb">
    <w:name w:val="Normal (Web)"/>
    <w:basedOn w:val="Normal"/>
    <w:uiPriority w:val="99"/>
    <w:unhideWhenUsed/>
    <w:rsid w:val="000808E0"/>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nairobi@cbm.org"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Okello, Francis</dc:creator>
  <cp:keywords/>
  <dc:description/>
  <cp:lastModifiedBy>Lagu, Simon</cp:lastModifiedBy>
  <cp:revision>2</cp:revision>
  <dcterms:created xsi:type="dcterms:W3CDTF">2021-02-12T11:13:00Z</dcterms:created>
  <dcterms:modified xsi:type="dcterms:W3CDTF">2021-02-12T11:13:00Z</dcterms:modified>
</cp:coreProperties>
</file>