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FC79" w14:textId="0C349555" w:rsidR="00571D19" w:rsidRDefault="00571D19" w:rsidP="00CF4524">
      <w:pPr>
        <w:pStyle w:val="NoSpacing"/>
        <w:jc w:val="both"/>
        <w:rPr>
          <w:rFonts w:ascii="Arial" w:hAnsi="Arial" w:cs="Arial"/>
          <w:b/>
          <w:bCs/>
        </w:rPr>
      </w:pPr>
      <w:r>
        <w:rPr>
          <w:noProof/>
        </w:rPr>
        <w:drawing>
          <wp:inline distT="0" distB="0" distL="0" distR="0" wp14:anchorId="585195ED" wp14:editId="4CF179D7">
            <wp:extent cx="2237740" cy="622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0"/>
                      <a:ext cx="2237740" cy="622935"/>
                    </a:xfrm>
                    <a:prstGeom prst="rect">
                      <a:avLst/>
                    </a:prstGeom>
                    <a:noFill/>
                  </pic:spPr>
                </pic:pic>
              </a:graphicData>
            </a:graphic>
          </wp:inline>
        </w:drawing>
      </w:r>
    </w:p>
    <w:p w14:paraId="262DCBE6" w14:textId="77777777" w:rsidR="00571D19" w:rsidRDefault="00571D19" w:rsidP="00CF4524">
      <w:pPr>
        <w:pStyle w:val="NoSpacing"/>
        <w:jc w:val="both"/>
        <w:rPr>
          <w:rFonts w:ascii="Arial" w:hAnsi="Arial" w:cs="Arial"/>
          <w:b/>
          <w:bCs/>
        </w:rPr>
      </w:pPr>
    </w:p>
    <w:p w14:paraId="3D7697C3" w14:textId="77777777" w:rsidR="00571D19" w:rsidRDefault="00571D19" w:rsidP="00CF4524">
      <w:pPr>
        <w:pStyle w:val="NoSpacing"/>
        <w:jc w:val="both"/>
        <w:rPr>
          <w:rFonts w:ascii="Arial" w:hAnsi="Arial" w:cs="Arial"/>
          <w:b/>
          <w:bCs/>
        </w:rPr>
      </w:pPr>
    </w:p>
    <w:p w14:paraId="1A1DDE26" w14:textId="45F40528" w:rsidR="00CF4524" w:rsidRPr="00CF4524" w:rsidRDefault="00CF4524" w:rsidP="00CF4524">
      <w:pPr>
        <w:pStyle w:val="NoSpacing"/>
        <w:jc w:val="both"/>
        <w:rPr>
          <w:rFonts w:ascii="Arial" w:hAnsi="Arial" w:cs="Arial"/>
          <w:b/>
          <w:bCs/>
        </w:rPr>
      </w:pPr>
      <w:r w:rsidRPr="00CF4524">
        <w:rPr>
          <w:rFonts w:ascii="Arial" w:hAnsi="Arial" w:cs="Arial"/>
          <w:b/>
          <w:bCs/>
        </w:rPr>
        <w:t>Terms of Reference: Engagement of a Law Firm for Retainer Legal Services</w:t>
      </w:r>
    </w:p>
    <w:p w14:paraId="724A9043" w14:textId="77777777" w:rsidR="00CF4524" w:rsidRDefault="00CF4524" w:rsidP="00CF4524">
      <w:pPr>
        <w:pStyle w:val="NoSpacing"/>
        <w:jc w:val="both"/>
        <w:rPr>
          <w:rFonts w:ascii="Arial" w:hAnsi="Arial" w:cs="Arial"/>
          <w:b/>
          <w:bCs/>
        </w:rPr>
      </w:pPr>
    </w:p>
    <w:p w14:paraId="06E018D9" w14:textId="57DA71BF" w:rsidR="00CF4524" w:rsidRPr="00CF4524" w:rsidRDefault="00CF4524" w:rsidP="00CF4524">
      <w:pPr>
        <w:pStyle w:val="NoSpacing"/>
        <w:jc w:val="both"/>
        <w:rPr>
          <w:rFonts w:ascii="Arial" w:hAnsi="Arial" w:cs="Arial"/>
          <w:b/>
          <w:bCs/>
        </w:rPr>
      </w:pPr>
      <w:r w:rsidRPr="00CF4524">
        <w:rPr>
          <w:rFonts w:ascii="Arial" w:hAnsi="Arial" w:cs="Arial"/>
          <w:b/>
          <w:bCs/>
        </w:rPr>
        <w:t>Purpose</w:t>
      </w:r>
    </w:p>
    <w:p w14:paraId="5E25E36B" w14:textId="586FCEE1" w:rsidR="00CF4524" w:rsidRPr="00CF4524" w:rsidRDefault="00DF2C37" w:rsidP="00CF4524">
      <w:pPr>
        <w:pStyle w:val="NoSpacing"/>
        <w:jc w:val="both"/>
        <w:rPr>
          <w:rFonts w:ascii="Arial" w:hAnsi="Arial" w:cs="Arial"/>
        </w:rPr>
      </w:pPr>
      <w:r>
        <w:rPr>
          <w:rFonts w:ascii="Arial" w:hAnsi="Arial" w:cs="Arial"/>
        </w:rPr>
        <w:t>Alight South Sudan</w:t>
      </w:r>
      <w:r w:rsidR="00CF4524" w:rsidRPr="00CF4524">
        <w:rPr>
          <w:rFonts w:ascii="Arial" w:hAnsi="Arial" w:cs="Arial"/>
        </w:rPr>
        <w:t xml:space="preserve"> seeks to engage a competent and reputable law firm to provide retainer legal services in support of its operations in South Sudan. These services are crucial for ensuring compliance with local laws, mitigating legal risks, and safeguarding the organization’s personnel, assets, and programming.</w:t>
      </w:r>
    </w:p>
    <w:p w14:paraId="17922FC4" w14:textId="77777777" w:rsidR="00CF4524" w:rsidRDefault="00CF4524" w:rsidP="00CF4524">
      <w:pPr>
        <w:pStyle w:val="NoSpacing"/>
        <w:jc w:val="both"/>
        <w:rPr>
          <w:rFonts w:ascii="Arial" w:hAnsi="Arial" w:cs="Arial"/>
          <w:b/>
          <w:bCs/>
        </w:rPr>
      </w:pPr>
    </w:p>
    <w:p w14:paraId="6E926E9D" w14:textId="318D5F6A" w:rsidR="00CF4524" w:rsidRPr="00CF4524" w:rsidRDefault="00CF4524" w:rsidP="00CF4524">
      <w:pPr>
        <w:pStyle w:val="NoSpacing"/>
        <w:jc w:val="both"/>
        <w:rPr>
          <w:rFonts w:ascii="Arial" w:hAnsi="Arial" w:cs="Arial"/>
          <w:b/>
          <w:bCs/>
        </w:rPr>
      </w:pPr>
      <w:r w:rsidRPr="00CF4524">
        <w:rPr>
          <w:rFonts w:ascii="Arial" w:hAnsi="Arial" w:cs="Arial"/>
          <w:b/>
          <w:bCs/>
        </w:rPr>
        <w:t>Contract Duration</w:t>
      </w:r>
    </w:p>
    <w:p w14:paraId="02AA68B6" w14:textId="77777777" w:rsidR="00CF4524" w:rsidRPr="00CF4524" w:rsidRDefault="00CF4524" w:rsidP="00CF4524">
      <w:pPr>
        <w:pStyle w:val="NoSpacing"/>
        <w:jc w:val="both"/>
        <w:rPr>
          <w:rFonts w:ascii="Arial" w:hAnsi="Arial" w:cs="Arial"/>
        </w:rPr>
      </w:pPr>
      <w:r w:rsidRPr="00CF4524">
        <w:rPr>
          <w:rFonts w:ascii="Arial" w:hAnsi="Arial" w:cs="Arial"/>
        </w:rPr>
        <w:t xml:space="preserve">The engagement will be for a period of </w:t>
      </w:r>
      <w:r w:rsidRPr="00CF4524">
        <w:rPr>
          <w:rFonts w:ascii="Arial" w:hAnsi="Arial" w:cs="Arial"/>
          <w:b/>
          <w:bCs/>
        </w:rPr>
        <w:t>one (1) year</w:t>
      </w:r>
      <w:r w:rsidRPr="00CF4524">
        <w:rPr>
          <w:rFonts w:ascii="Arial" w:hAnsi="Arial" w:cs="Arial"/>
        </w:rPr>
        <w:t xml:space="preserve">, </w:t>
      </w:r>
      <w:r w:rsidRPr="00CF4524">
        <w:rPr>
          <w:rFonts w:ascii="Arial" w:hAnsi="Arial" w:cs="Arial"/>
          <w:b/>
          <w:bCs/>
        </w:rPr>
        <w:t>renewable</w:t>
      </w:r>
      <w:r w:rsidRPr="00CF4524">
        <w:rPr>
          <w:rFonts w:ascii="Arial" w:hAnsi="Arial" w:cs="Arial"/>
        </w:rPr>
        <w:t xml:space="preserve"> upon satisfactory performance review, evolving operational needs, and availability of funding.</w:t>
      </w:r>
    </w:p>
    <w:p w14:paraId="5E7FC257" w14:textId="77777777" w:rsidR="00CF4524" w:rsidRPr="00CF4524" w:rsidRDefault="00571D19" w:rsidP="00CF4524">
      <w:pPr>
        <w:pStyle w:val="NoSpacing"/>
        <w:jc w:val="both"/>
        <w:rPr>
          <w:rFonts w:ascii="Arial" w:hAnsi="Arial" w:cs="Arial"/>
        </w:rPr>
      </w:pPr>
      <w:r>
        <w:rPr>
          <w:rFonts w:ascii="Arial" w:hAnsi="Arial" w:cs="Arial"/>
        </w:rPr>
        <w:pict w14:anchorId="61ACFBA4">
          <v:rect id="_x0000_i1025" style="width:0;height:1.5pt" o:hralign="center" o:hrstd="t" o:hr="t" fillcolor="#a0a0a0" stroked="f"/>
        </w:pict>
      </w:r>
    </w:p>
    <w:p w14:paraId="664F7499" w14:textId="77777777" w:rsidR="00CF4524" w:rsidRDefault="00CF4524" w:rsidP="00CF4524">
      <w:pPr>
        <w:pStyle w:val="NoSpacing"/>
        <w:jc w:val="both"/>
        <w:rPr>
          <w:rFonts w:ascii="Arial" w:hAnsi="Arial" w:cs="Arial"/>
          <w:b/>
          <w:bCs/>
        </w:rPr>
      </w:pPr>
      <w:r w:rsidRPr="00CF4524">
        <w:rPr>
          <w:rFonts w:ascii="Arial" w:hAnsi="Arial" w:cs="Arial"/>
          <w:b/>
          <w:bCs/>
        </w:rPr>
        <w:t>Key Criteria for Selection</w:t>
      </w:r>
    </w:p>
    <w:p w14:paraId="1F54A738" w14:textId="77777777" w:rsidR="00DF2C37" w:rsidRPr="00CF4524" w:rsidRDefault="00DF2C37" w:rsidP="00CF4524">
      <w:pPr>
        <w:pStyle w:val="NoSpacing"/>
        <w:jc w:val="both"/>
        <w:rPr>
          <w:rFonts w:ascii="Arial" w:hAnsi="Arial" w:cs="Arial"/>
          <w:b/>
          <w:bCs/>
        </w:rPr>
      </w:pPr>
    </w:p>
    <w:p w14:paraId="1138FF21"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Valid Legal Registration &amp; Licensing</w:t>
      </w:r>
    </w:p>
    <w:p w14:paraId="52A05DE5" w14:textId="77777777" w:rsidR="00CF4524" w:rsidRDefault="00CF4524" w:rsidP="00CF4524">
      <w:pPr>
        <w:pStyle w:val="NoSpacing"/>
        <w:numPr>
          <w:ilvl w:val="1"/>
          <w:numId w:val="1"/>
        </w:numPr>
        <w:jc w:val="both"/>
        <w:rPr>
          <w:rFonts w:ascii="Arial" w:hAnsi="Arial" w:cs="Arial"/>
        </w:rPr>
      </w:pPr>
      <w:r w:rsidRPr="00CF4524">
        <w:rPr>
          <w:rFonts w:ascii="Arial" w:hAnsi="Arial" w:cs="Arial"/>
        </w:rPr>
        <w:t xml:space="preserve">The law firm must be </w:t>
      </w:r>
      <w:r w:rsidRPr="00CF4524">
        <w:rPr>
          <w:rFonts w:ascii="Arial" w:hAnsi="Arial" w:cs="Arial"/>
          <w:b/>
          <w:bCs/>
        </w:rPr>
        <w:t>duly registered and licensed</w:t>
      </w:r>
      <w:r w:rsidRPr="00CF4524">
        <w:rPr>
          <w:rFonts w:ascii="Arial" w:hAnsi="Arial" w:cs="Arial"/>
        </w:rPr>
        <w:t xml:space="preserve"> to operate in South Sudan by the relevant national legal authorities (e.g., South Sudan Bar Association, Ministry of Justice).</w:t>
      </w:r>
    </w:p>
    <w:p w14:paraId="46C22FC9" w14:textId="77777777" w:rsidR="00DF2C37" w:rsidRPr="00CF4524" w:rsidRDefault="00DF2C37" w:rsidP="00DF2C37">
      <w:pPr>
        <w:pStyle w:val="NoSpacing"/>
        <w:ind w:left="1440"/>
        <w:jc w:val="both"/>
        <w:rPr>
          <w:rFonts w:ascii="Arial" w:hAnsi="Arial" w:cs="Arial"/>
        </w:rPr>
      </w:pPr>
    </w:p>
    <w:p w14:paraId="6D3EE9EA"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Proven Experience with INGOs</w:t>
      </w:r>
    </w:p>
    <w:p w14:paraId="21A09A0A" w14:textId="77777777" w:rsidR="00CF4524" w:rsidRDefault="00CF4524" w:rsidP="00CF4524">
      <w:pPr>
        <w:pStyle w:val="NoSpacing"/>
        <w:numPr>
          <w:ilvl w:val="1"/>
          <w:numId w:val="1"/>
        </w:numPr>
        <w:jc w:val="both"/>
        <w:rPr>
          <w:rFonts w:ascii="Arial" w:hAnsi="Arial" w:cs="Arial"/>
        </w:rPr>
      </w:pPr>
      <w:r w:rsidRPr="00CF4524">
        <w:rPr>
          <w:rFonts w:ascii="Arial" w:hAnsi="Arial" w:cs="Arial"/>
        </w:rPr>
        <w:t xml:space="preserve">Demonstrated </w:t>
      </w:r>
      <w:r w:rsidRPr="00CF4524">
        <w:rPr>
          <w:rFonts w:ascii="Arial" w:hAnsi="Arial" w:cs="Arial"/>
          <w:b/>
          <w:bCs/>
        </w:rPr>
        <w:t>track record of providing legal services</w:t>
      </w:r>
      <w:r w:rsidRPr="00CF4524">
        <w:rPr>
          <w:rFonts w:ascii="Arial" w:hAnsi="Arial" w:cs="Arial"/>
        </w:rPr>
        <w:t xml:space="preserve"> to INGOs or UN agencies operating in humanitarian or development contexts, with knowledge of relevant regulations and requirements affecting NGOs.</w:t>
      </w:r>
    </w:p>
    <w:p w14:paraId="0DB756A4" w14:textId="77777777" w:rsidR="00DF2C37" w:rsidRPr="00CF4524" w:rsidRDefault="00DF2C37" w:rsidP="00DF2C37">
      <w:pPr>
        <w:pStyle w:val="NoSpacing"/>
        <w:ind w:left="1440"/>
        <w:jc w:val="both"/>
        <w:rPr>
          <w:rFonts w:ascii="Arial" w:hAnsi="Arial" w:cs="Arial"/>
        </w:rPr>
      </w:pPr>
    </w:p>
    <w:p w14:paraId="294237FE"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Expertise in Key Legal Areas</w:t>
      </w:r>
    </w:p>
    <w:p w14:paraId="6C6AD440" w14:textId="77777777" w:rsidR="00CF4524" w:rsidRPr="00CF4524" w:rsidRDefault="00CF4524" w:rsidP="00CF4524">
      <w:pPr>
        <w:pStyle w:val="NoSpacing"/>
        <w:numPr>
          <w:ilvl w:val="1"/>
          <w:numId w:val="1"/>
        </w:numPr>
        <w:jc w:val="both"/>
        <w:rPr>
          <w:rFonts w:ascii="Arial" w:hAnsi="Arial" w:cs="Arial"/>
        </w:rPr>
      </w:pPr>
      <w:r w:rsidRPr="00CF4524">
        <w:rPr>
          <w:rFonts w:ascii="Arial" w:hAnsi="Arial" w:cs="Arial"/>
        </w:rPr>
        <w:t>The firm must show competency in South Sudanese laws related to:</w:t>
      </w:r>
    </w:p>
    <w:p w14:paraId="595D984E" w14:textId="77777777" w:rsidR="00CF4524" w:rsidRPr="00CF4524" w:rsidRDefault="00CF4524" w:rsidP="00CF4524">
      <w:pPr>
        <w:pStyle w:val="NoSpacing"/>
        <w:numPr>
          <w:ilvl w:val="2"/>
          <w:numId w:val="1"/>
        </w:numPr>
        <w:jc w:val="both"/>
        <w:rPr>
          <w:rFonts w:ascii="Arial" w:hAnsi="Arial" w:cs="Arial"/>
        </w:rPr>
      </w:pPr>
      <w:r w:rsidRPr="00CF4524">
        <w:rPr>
          <w:rFonts w:ascii="Arial" w:hAnsi="Arial" w:cs="Arial"/>
        </w:rPr>
        <w:t>Labor and Employment</w:t>
      </w:r>
    </w:p>
    <w:p w14:paraId="76A8C851" w14:textId="77777777" w:rsidR="00CF4524" w:rsidRPr="00CF4524" w:rsidRDefault="00CF4524" w:rsidP="00CF4524">
      <w:pPr>
        <w:pStyle w:val="NoSpacing"/>
        <w:numPr>
          <w:ilvl w:val="2"/>
          <w:numId w:val="1"/>
        </w:numPr>
        <w:jc w:val="both"/>
        <w:rPr>
          <w:rFonts w:ascii="Arial" w:hAnsi="Arial" w:cs="Arial"/>
        </w:rPr>
      </w:pPr>
      <w:r w:rsidRPr="00CF4524">
        <w:rPr>
          <w:rFonts w:ascii="Arial" w:hAnsi="Arial" w:cs="Arial"/>
        </w:rPr>
        <w:t>Immigration and Work Permits</w:t>
      </w:r>
    </w:p>
    <w:p w14:paraId="4419BF6A" w14:textId="77777777" w:rsidR="00CF4524" w:rsidRPr="00CF4524" w:rsidRDefault="00CF4524" w:rsidP="00CF4524">
      <w:pPr>
        <w:pStyle w:val="NoSpacing"/>
        <w:numPr>
          <w:ilvl w:val="2"/>
          <w:numId w:val="1"/>
        </w:numPr>
        <w:jc w:val="both"/>
        <w:rPr>
          <w:rFonts w:ascii="Arial" w:hAnsi="Arial" w:cs="Arial"/>
        </w:rPr>
      </w:pPr>
      <w:r w:rsidRPr="00CF4524">
        <w:rPr>
          <w:rFonts w:ascii="Arial" w:hAnsi="Arial" w:cs="Arial"/>
        </w:rPr>
        <w:t>Taxation and Exemptions</w:t>
      </w:r>
    </w:p>
    <w:p w14:paraId="2AD1263E" w14:textId="77777777" w:rsidR="00CF4524" w:rsidRPr="00CF4524" w:rsidRDefault="00CF4524" w:rsidP="00CF4524">
      <w:pPr>
        <w:pStyle w:val="NoSpacing"/>
        <w:numPr>
          <w:ilvl w:val="2"/>
          <w:numId w:val="1"/>
        </w:numPr>
        <w:jc w:val="both"/>
        <w:rPr>
          <w:rFonts w:ascii="Arial" w:hAnsi="Arial" w:cs="Arial"/>
        </w:rPr>
      </w:pPr>
      <w:r w:rsidRPr="00CF4524">
        <w:rPr>
          <w:rFonts w:ascii="Arial" w:hAnsi="Arial" w:cs="Arial"/>
        </w:rPr>
        <w:t xml:space="preserve">Contracts and </w:t>
      </w:r>
      <w:proofErr w:type="spellStart"/>
      <w:r w:rsidRPr="00CF4524">
        <w:rPr>
          <w:rFonts w:ascii="Arial" w:hAnsi="Arial" w:cs="Arial"/>
        </w:rPr>
        <w:t>MoUs</w:t>
      </w:r>
      <w:proofErr w:type="spellEnd"/>
    </w:p>
    <w:p w14:paraId="34B4DF1B" w14:textId="77777777" w:rsidR="00CF4524" w:rsidRPr="00CF4524" w:rsidRDefault="00CF4524" w:rsidP="00CF4524">
      <w:pPr>
        <w:pStyle w:val="NoSpacing"/>
        <w:numPr>
          <w:ilvl w:val="2"/>
          <w:numId w:val="1"/>
        </w:numPr>
        <w:jc w:val="both"/>
        <w:rPr>
          <w:rFonts w:ascii="Arial" w:hAnsi="Arial" w:cs="Arial"/>
        </w:rPr>
      </w:pPr>
      <w:r w:rsidRPr="00CF4524">
        <w:rPr>
          <w:rFonts w:ascii="Arial" w:hAnsi="Arial" w:cs="Arial"/>
        </w:rPr>
        <w:t>Land and Property</w:t>
      </w:r>
    </w:p>
    <w:p w14:paraId="19DFECB2" w14:textId="77777777" w:rsidR="00CF4524" w:rsidRPr="00CF4524" w:rsidRDefault="00CF4524" w:rsidP="00CF4524">
      <w:pPr>
        <w:pStyle w:val="NoSpacing"/>
        <w:numPr>
          <w:ilvl w:val="2"/>
          <w:numId w:val="1"/>
        </w:numPr>
        <w:jc w:val="both"/>
        <w:rPr>
          <w:rFonts w:ascii="Arial" w:hAnsi="Arial" w:cs="Arial"/>
        </w:rPr>
      </w:pPr>
      <w:r w:rsidRPr="00CF4524">
        <w:rPr>
          <w:rFonts w:ascii="Arial" w:hAnsi="Arial" w:cs="Arial"/>
        </w:rPr>
        <w:t>Security and Law Enforcement Interactions</w:t>
      </w:r>
    </w:p>
    <w:p w14:paraId="3E8832FE" w14:textId="77777777" w:rsidR="00CF4524" w:rsidRDefault="00CF4524" w:rsidP="00CF4524">
      <w:pPr>
        <w:pStyle w:val="NoSpacing"/>
        <w:numPr>
          <w:ilvl w:val="2"/>
          <w:numId w:val="1"/>
        </w:numPr>
        <w:jc w:val="both"/>
        <w:rPr>
          <w:rFonts w:ascii="Arial" w:hAnsi="Arial" w:cs="Arial"/>
        </w:rPr>
      </w:pPr>
      <w:r w:rsidRPr="00CF4524">
        <w:rPr>
          <w:rFonts w:ascii="Arial" w:hAnsi="Arial" w:cs="Arial"/>
        </w:rPr>
        <w:t>Statutory Compliance with the Relief and Rehabilitation Commission (RRC)</w:t>
      </w:r>
    </w:p>
    <w:p w14:paraId="0FE2FF33" w14:textId="394FB94C" w:rsidR="00DF2C37" w:rsidRDefault="00DF2C37" w:rsidP="00CF4524">
      <w:pPr>
        <w:pStyle w:val="NoSpacing"/>
        <w:numPr>
          <w:ilvl w:val="2"/>
          <w:numId w:val="1"/>
        </w:numPr>
        <w:jc w:val="both"/>
        <w:rPr>
          <w:rFonts w:ascii="Arial" w:hAnsi="Arial" w:cs="Arial"/>
        </w:rPr>
      </w:pPr>
      <w:r>
        <w:rPr>
          <w:rFonts w:ascii="Arial" w:hAnsi="Arial" w:cs="Arial"/>
        </w:rPr>
        <w:t>Suppliers/Vendors contract management</w:t>
      </w:r>
    </w:p>
    <w:p w14:paraId="4943BF61" w14:textId="77777777" w:rsidR="00DF2C37" w:rsidRPr="00CF4524" w:rsidRDefault="00DF2C37" w:rsidP="00DF2C37">
      <w:pPr>
        <w:pStyle w:val="NoSpacing"/>
        <w:ind w:left="2160"/>
        <w:jc w:val="both"/>
        <w:rPr>
          <w:rFonts w:ascii="Arial" w:hAnsi="Arial" w:cs="Arial"/>
        </w:rPr>
      </w:pPr>
    </w:p>
    <w:p w14:paraId="0A191B4F"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Availability and Responsiveness</w:t>
      </w:r>
    </w:p>
    <w:p w14:paraId="003961CC" w14:textId="7F261172" w:rsidR="00CF4524" w:rsidRDefault="00CF4524" w:rsidP="00CF4524">
      <w:pPr>
        <w:pStyle w:val="NoSpacing"/>
        <w:numPr>
          <w:ilvl w:val="1"/>
          <w:numId w:val="1"/>
        </w:numPr>
        <w:jc w:val="both"/>
        <w:rPr>
          <w:rFonts w:ascii="Arial" w:hAnsi="Arial" w:cs="Arial"/>
        </w:rPr>
      </w:pPr>
      <w:r w:rsidRPr="00CF4524">
        <w:rPr>
          <w:rFonts w:ascii="Arial" w:hAnsi="Arial" w:cs="Arial"/>
        </w:rPr>
        <w:t xml:space="preserve">The firm should provide </w:t>
      </w:r>
      <w:r w:rsidRPr="00CF4524">
        <w:rPr>
          <w:rFonts w:ascii="Arial" w:hAnsi="Arial" w:cs="Arial"/>
          <w:b/>
          <w:bCs/>
        </w:rPr>
        <w:t>timely responses</w:t>
      </w:r>
      <w:r w:rsidRPr="00CF4524">
        <w:rPr>
          <w:rFonts w:ascii="Arial" w:hAnsi="Arial" w:cs="Arial"/>
        </w:rPr>
        <w:t xml:space="preserve">, especially during legal emergencies or compliance deadlines. A dedicated </w:t>
      </w:r>
      <w:r w:rsidRPr="00CF4524">
        <w:rPr>
          <w:rFonts w:ascii="Arial" w:hAnsi="Arial" w:cs="Arial"/>
          <w:b/>
          <w:bCs/>
        </w:rPr>
        <w:t>legal liaison</w:t>
      </w:r>
      <w:r w:rsidRPr="00CF4524">
        <w:rPr>
          <w:rFonts w:ascii="Arial" w:hAnsi="Arial" w:cs="Arial"/>
        </w:rPr>
        <w:t xml:space="preserve"> should be assigned to the </w:t>
      </w:r>
      <w:r w:rsidR="00DF2C37">
        <w:rPr>
          <w:rFonts w:ascii="Arial" w:hAnsi="Arial" w:cs="Arial"/>
        </w:rPr>
        <w:t>Alight South Sudan</w:t>
      </w:r>
      <w:r w:rsidRPr="00CF4524">
        <w:rPr>
          <w:rFonts w:ascii="Arial" w:hAnsi="Arial" w:cs="Arial"/>
        </w:rPr>
        <w:t>.</w:t>
      </w:r>
    </w:p>
    <w:p w14:paraId="6BAC3407" w14:textId="77777777" w:rsidR="00DF2C37" w:rsidRPr="00CF4524" w:rsidRDefault="00DF2C37" w:rsidP="00DF2C37">
      <w:pPr>
        <w:pStyle w:val="NoSpacing"/>
        <w:ind w:left="1440"/>
        <w:jc w:val="both"/>
        <w:rPr>
          <w:rFonts w:ascii="Arial" w:hAnsi="Arial" w:cs="Arial"/>
        </w:rPr>
      </w:pPr>
    </w:p>
    <w:p w14:paraId="34697626"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lastRenderedPageBreak/>
        <w:t>Professional Reputation and Ethical Standing</w:t>
      </w:r>
    </w:p>
    <w:p w14:paraId="4CE65BA2" w14:textId="77777777" w:rsidR="00CF4524" w:rsidRDefault="00CF4524" w:rsidP="00CF4524">
      <w:pPr>
        <w:pStyle w:val="NoSpacing"/>
        <w:numPr>
          <w:ilvl w:val="1"/>
          <w:numId w:val="1"/>
        </w:numPr>
        <w:jc w:val="both"/>
        <w:rPr>
          <w:rFonts w:ascii="Arial" w:hAnsi="Arial" w:cs="Arial"/>
        </w:rPr>
      </w:pPr>
      <w:r w:rsidRPr="00CF4524">
        <w:rPr>
          <w:rFonts w:ascii="Arial" w:hAnsi="Arial" w:cs="Arial"/>
        </w:rPr>
        <w:t xml:space="preserve">Must have </w:t>
      </w:r>
      <w:r w:rsidRPr="00CF4524">
        <w:rPr>
          <w:rFonts w:ascii="Arial" w:hAnsi="Arial" w:cs="Arial"/>
          <w:b/>
          <w:bCs/>
        </w:rPr>
        <w:t>no history of malpractice, suspension, or ethical violations</w:t>
      </w:r>
      <w:r w:rsidRPr="00CF4524">
        <w:rPr>
          <w:rFonts w:ascii="Arial" w:hAnsi="Arial" w:cs="Arial"/>
        </w:rPr>
        <w:t>. References from past or current INGO clients will be required and verified.</w:t>
      </w:r>
    </w:p>
    <w:p w14:paraId="07E8D872" w14:textId="77777777" w:rsidR="00DF2C37" w:rsidRPr="00CF4524" w:rsidRDefault="00DF2C37" w:rsidP="00DF2C37">
      <w:pPr>
        <w:pStyle w:val="NoSpacing"/>
        <w:ind w:left="1440"/>
        <w:jc w:val="both"/>
        <w:rPr>
          <w:rFonts w:ascii="Arial" w:hAnsi="Arial" w:cs="Arial"/>
        </w:rPr>
      </w:pPr>
    </w:p>
    <w:p w14:paraId="3C56372F"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Capacity for Nationwide Legal Representation</w:t>
      </w:r>
    </w:p>
    <w:p w14:paraId="528FDE0A" w14:textId="1DF59C20" w:rsidR="00CF4524" w:rsidRDefault="00CF4524" w:rsidP="00CF4524">
      <w:pPr>
        <w:pStyle w:val="NoSpacing"/>
        <w:numPr>
          <w:ilvl w:val="1"/>
          <w:numId w:val="1"/>
        </w:numPr>
        <w:jc w:val="both"/>
        <w:rPr>
          <w:rFonts w:ascii="Arial" w:hAnsi="Arial" w:cs="Arial"/>
        </w:rPr>
      </w:pPr>
      <w:r w:rsidRPr="00CF4524">
        <w:rPr>
          <w:rFonts w:ascii="Arial" w:hAnsi="Arial" w:cs="Arial"/>
        </w:rPr>
        <w:t xml:space="preserve">Ability to represent and support the </w:t>
      </w:r>
      <w:r w:rsidR="00DF2C37">
        <w:rPr>
          <w:rFonts w:ascii="Arial" w:hAnsi="Arial" w:cs="Arial"/>
        </w:rPr>
        <w:t>Alight</w:t>
      </w:r>
      <w:r w:rsidRPr="00CF4524">
        <w:rPr>
          <w:rFonts w:ascii="Arial" w:hAnsi="Arial" w:cs="Arial"/>
        </w:rPr>
        <w:t xml:space="preserve"> in </w:t>
      </w:r>
      <w:r w:rsidRPr="00CF4524">
        <w:rPr>
          <w:rFonts w:ascii="Arial" w:hAnsi="Arial" w:cs="Arial"/>
          <w:b/>
          <w:bCs/>
        </w:rPr>
        <w:t>Juba and field locations</w:t>
      </w:r>
      <w:r w:rsidRPr="00CF4524">
        <w:rPr>
          <w:rFonts w:ascii="Arial" w:hAnsi="Arial" w:cs="Arial"/>
        </w:rPr>
        <w:t xml:space="preserve"> across South Sudan, including courts, local authorities, and ministries when required.</w:t>
      </w:r>
    </w:p>
    <w:p w14:paraId="48602993" w14:textId="77777777" w:rsidR="00DF2C37" w:rsidRPr="00CF4524" w:rsidRDefault="00DF2C37" w:rsidP="00DF2C37">
      <w:pPr>
        <w:pStyle w:val="NoSpacing"/>
        <w:ind w:left="1440"/>
        <w:jc w:val="both"/>
        <w:rPr>
          <w:rFonts w:ascii="Arial" w:hAnsi="Arial" w:cs="Arial"/>
        </w:rPr>
      </w:pPr>
    </w:p>
    <w:p w14:paraId="744608E9"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Fee Structure and Cost-Effectiveness</w:t>
      </w:r>
    </w:p>
    <w:p w14:paraId="3DD0C656" w14:textId="77777777" w:rsidR="00CF4524" w:rsidRDefault="00CF4524" w:rsidP="00CF4524">
      <w:pPr>
        <w:pStyle w:val="NoSpacing"/>
        <w:numPr>
          <w:ilvl w:val="1"/>
          <w:numId w:val="1"/>
        </w:numPr>
        <w:jc w:val="both"/>
        <w:rPr>
          <w:rFonts w:ascii="Arial" w:hAnsi="Arial" w:cs="Arial"/>
        </w:rPr>
      </w:pPr>
      <w:r w:rsidRPr="00CF4524">
        <w:rPr>
          <w:rFonts w:ascii="Arial" w:hAnsi="Arial" w:cs="Arial"/>
        </w:rPr>
        <w:t xml:space="preserve">Transparent and </w:t>
      </w:r>
      <w:r w:rsidRPr="00CF4524">
        <w:rPr>
          <w:rFonts w:ascii="Arial" w:hAnsi="Arial" w:cs="Arial"/>
          <w:b/>
          <w:bCs/>
        </w:rPr>
        <w:t>reasonable retainer fee structure</w:t>
      </w:r>
      <w:r w:rsidRPr="00CF4524">
        <w:rPr>
          <w:rFonts w:ascii="Arial" w:hAnsi="Arial" w:cs="Arial"/>
        </w:rPr>
        <w:t>, with clear breakdowns of services covered under the retainer and those charged separately.</w:t>
      </w:r>
    </w:p>
    <w:p w14:paraId="0A74A6A7" w14:textId="77777777" w:rsidR="00DF2C37" w:rsidRPr="00CF4524" w:rsidRDefault="00DF2C37" w:rsidP="00DF2C37">
      <w:pPr>
        <w:pStyle w:val="NoSpacing"/>
        <w:ind w:left="1440"/>
        <w:jc w:val="both"/>
        <w:rPr>
          <w:rFonts w:ascii="Arial" w:hAnsi="Arial" w:cs="Arial"/>
        </w:rPr>
      </w:pPr>
    </w:p>
    <w:p w14:paraId="0D55961B"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Legal Opinion and Advisory Services</w:t>
      </w:r>
    </w:p>
    <w:p w14:paraId="276C3A84" w14:textId="538BF722" w:rsidR="00CF4524" w:rsidRDefault="00CF4524" w:rsidP="00CF4524">
      <w:pPr>
        <w:pStyle w:val="NoSpacing"/>
        <w:numPr>
          <w:ilvl w:val="1"/>
          <w:numId w:val="1"/>
        </w:numPr>
        <w:jc w:val="both"/>
        <w:rPr>
          <w:rFonts w:ascii="Arial" w:hAnsi="Arial" w:cs="Arial"/>
        </w:rPr>
      </w:pPr>
      <w:r w:rsidRPr="00CF4524">
        <w:rPr>
          <w:rFonts w:ascii="Arial" w:hAnsi="Arial" w:cs="Arial"/>
        </w:rPr>
        <w:t xml:space="preserve">Ability to provide </w:t>
      </w:r>
      <w:r w:rsidRPr="00CF4524">
        <w:rPr>
          <w:rFonts w:ascii="Arial" w:hAnsi="Arial" w:cs="Arial"/>
          <w:b/>
          <w:bCs/>
        </w:rPr>
        <w:t>written legal opinions, reviews of legal documents</w:t>
      </w:r>
      <w:r w:rsidRPr="00CF4524">
        <w:rPr>
          <w:rFonts w:ascii="Arial" w:hAnsi="Arial" w:cs="Arial"/>
        </w:rPr>
        <w:t xml:space="preserve">, and </w:t>
      </w:r>
      <w:r w:rsidR="00E9463C" w:rsidRPr="00CF4524">
        <w:rPr>
          <w:rFonts w:ascii="Arial" w:hAnsi="Arial" w:cs="Arial"/>
        </w:rPr>
        <w:t>advice</w:t>
      </w:r>
      <w:r w:rsidRPr="00CF4524">
        <w:rPr>
          <w:rFonts w:ascii="Arial" w:hAnsi="Arial" w:cs="Arial"/>
        </w:rPr>
        <w:t xml:space="preserve"> on emerging legislation or legal changes impacting INGO operations.</w:t>
      </w:r>
    </w:p>
    <w:p w14:paraId="3D599E34" w14:textId="77777777" w:rsidR="00DF2C37" w:rsidRPr="00CF4524" w:rsidRDefault="00DF2C37" w:rsidP="00DF2C37">
      <w:pPr>
        <w:pStyle w:val="NoSpacing"/>
        <w:ind w:left="1440"/>
        <w:jc w:val="both"/>
        <w:rPr>
          <w:rFonts w:ascii="Arial" w:hAnsi="Arial" w:cs="Arial"/>
        </w:rPr>
      </w:pPr>
    </w:p>
    <w:p w14:paraId="7E0D8FF9"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Conflict of Interest Declaration</w:t>
      </w:r>
    </w:p>
    <w:p w14:paraId="6959423C" w14:textId="77777777" w:rsidR="00CF4524" w:rsidRDefault="00CF4524" w:rsidP="00CF4524">
      <w:pPr>
        <w:pStyle w:val="NoSpacing"/>
        <w:numPr>
          <w:ilvl w:val="1"/>
          <w:numId w:val="1"/>
        </w:numPr>
        <w:jc w:val="both"/>
        <w:rPr>
          <w:rFonts w:ascii="Arial" w:hAnsi="Arial" w:cs="Arial"/>
        </w:rPr>
      </w:pPr>
      <w:r w:rsidRPr="00CF4524">
        <w:rPr>
          <w:rFonts w:ascii="Arial" w:hAnsi="Arial" w:cs="Arial"/>
        </w:rPr>
        <w:t xml:space="preserve">Disclosure of </w:t>
      </w:r>
      <w:r w:rsidRPr="00CF4524">
        <w:rPr>
          <w:rFonts w:ascii="Arial" w:hAnsi="Arial" w:cs="Arial"/>
          <w:b/>
          <w:bCs/>
        </w:rPr>
        <w:t>existing or potential conflicts of interest</w:t>
      </w:r>
      <w:r w:rsidRPr="00CF4524">
        <w:rPr>
          <w:rFonts w:ascii="Arial" w:hAnsi="Arial" w:cs="Arial"/>
        </w:rPr>
        <w:t>, especially if representing government entities or organizations with opposing mandates or interests.</w:t>
      </w:r>
    </w:p>
    <w:p w14:paraId="380684FD" w14:textId="77777777" w:rsidR="00DF2C37" w:rsidRPr="00CF4524" w:rsidRDefault="00DF2C37" w:rsidP="00DF2C37">
      <w:pPr>
        <w:pStyle w:val="NoSpacing"/>
        <w:ind w:left="1440"/>
        <w:jc w:val="both"/>
        <w:rPr>
          <w:rFonts w:ascii="Arial" w:hAnsi="Arial" w:cs="Arial"/>
        </w:rPr>
      </w:pPr>
    </w:p>
    <w:p w14:paraId="204EDE87" w14:textId="77777777" w:rsidR="00CF4524" w:rsidRPr="00CF4524" w:rsidRDefault="00CF4524" w:rsidP="00CF4524">
      <w:pPr>
        <w:pStyle w:val="NoSpacing"/>
        <w:numPr>
          <w:ilvl w:val="0"/>
          <w:numId w:val="1"/>
        </w:numPr>
        <w:jc w:val="both"/>
        <w:rPr>
          <w:rFonts w:ascii="Arial" w:hAnsi="Arial" w:cs="Arial"/>
        </w:rPr>
      </w:pPr>
      <w:r w:rsidRPr="00CF4524">
        <w:rPr>
          <w:rFonts w:ascii="Arial" w:hAnsi="Arial" w:cs="Arial"/>
          <w:b/>
          <w:bCs/>
        </w:rPr>
        <w:t>Commitment to Confidentiality</w:t>
      </w:r>
    </w:p>
    <w:p w14:paraId="0CBB95A5" w14:textId="0DCB9D76" w:rsidR="00CF4524" w:rsidRPr="00CF4524" w:rsidRDefault="00CF4524" w:rsidP="00CF4524">
      <w:pPr>
        <w:pStyle w:val="NoSpacing"/>
        <w:numPr>
          <w:ilvl w:val="0"/>
          <w:numId w:val="2"/>
        </w:numPr>
        <w:jc w:val="both"/>
        <w:rPr>
          <w:rFonts w:ascii="Arial" w:hAnsi="Arial" w:cs="Arial"/>
        </w:rPr>
      </w:pPr>
      <w:r w:rsidRPr="00CF4524">
        <w:rPr>
          <w:rFonts w:ascii="Arial" w:hAnsi="Arial" w:cs="Arial"/>
        </w:rPr>
        <w:t xml:space="preserve">Must have policies and practices ensuring </w:t>
      </w:r>
      <w:r w:rsidRPr="00CF4524">
        <w:rPr>
          <w:rFonts w:ascii="Arial" w:hAnsi="Arial" w:cs="Arial"/>
          <w:b/>
          <w:bCs/>
        </w:rPr>
        <w:t xml:space="preserve">strict confidentiality of </w:t>
      </w:r>
      <w:r w:rsidR="00DF2C37">
        <w:rPr>
          <w:rFonts w:ascii="Arial" w:hAnsi="Arial" w:cs="Arial"/>
          <w:b/>
          <w:bCs/>
        </w:rPr>
        <w:t>Alight</w:t>
      </w:r>
      <w:r w:rsidRPr="00CF4524">
        <w:rPr>
          <w:rFonts w:ascii="Arial" w:hAnsi="Arial" w:cs="Arial"/>
          <w:b/>
          <w:bCs/>
        </w:rPr>
        <w:t xml:space="preserve"> information and data</w:t>
      </w:r>
      <w:r w:rsidRPr="00CF4524">
        <w:rPr>
          <w:rFonts w:ascii="Arial" w:hAnsi="Arial" w:cs="Arial"/>
        </w:rPr>
        <w:t>, including during and after the contract period.</w:t>
      </w:r>
    </w:p>
    <w:p w14:paraId="1368A20D" w14:textId="77777777" w:rsidR="00CF4524" w:rsidRPr="00CF4524" w:rsidRDefault="00571D19" w:rsidP="00CF4524">
      <w:pPr>
        <w:pStyle w:val="NoSpacing"/>
        <w:jc w:val="both"/>
        <w:rPr>
          <w:rFonts w:ascii="Arial" w:hAnsi="Arial" w:cs="Arial"/>
        </w:rPr>
      </w:pPr>
      <w:r>
        <w:rPr>
          <w:rFonts w:ascii="Arial" w:hAnsi="Arial" w:cs="Arial"/>
        </w:rPr>
        <w:pict w14:anchorId="443EB0CC">
          <v:rect id="_x0000_i1026" style="width:0;height:1.5pt" o:hralign="center" o:hrstd="t" o:hr="t" fillcolor="#a0a0a0" stroked="f"/>
        </w:pict>
      </w:r>
    </w:p>
    <w:p w14:paraId="301D8EA9" w14:textId="4F08D329" w:rsidR="00CF4524" w:rsidRPr="00CF4524" w:rsidRDefault="00CF4524" w:rsidP="00CF4524">
      <w:pPr>
        <w:pStyle w:val="NoSpacing"/>
        <w:jc w:val="both"/>
        <w:rPr>
          <w:rFonts w:ascii="Arial" w:hAnsi="Arial" w:cs="Arial"/>
          <w:b/>
          <w:bCs/>
        </w:rPr>
      </w:pPr>
      <w:r w:rsidRPr="00CF4524">
        <w:rPr>
          <w:rFonts w:ascii="Arial" w:hAnsi="Arial" w:cs="Arial"/>
          <w:b/>
          <w:bCs/>
        </w:rPr>
        <w:t xml:space="preserve">What </w:t>
      </w:r>
      <w:r w:rsidR="00DF2C37">
        <w:rPr>
          <w:rFonts w:ascii="Arial" w:hAnsi="Arial" w:cs="Arial"/>
          <w:b/>
          <w:bCs/>
        </w:rPr>
        <w:t>Alight South Sudan</w:t>
      </w:r>
      <w:r w:rsidRPr="00CF4524">
        <w:rPr>
          <w:rFonts w:ascii="Arial" w:hAnsi="Arial" w:cs="Arial"/>
          <w:b/>
          <w:bCs/>
        </w:rPr>
        <w:t xml:space="preserve"> is Looking for in the Retainer Services</w:t>
      </w:r>
    </w:p>
    <w:p w14:paraId="78F6BD3C" w14:textId="0B3E9503" w:rsidR="00CF4524" w:rsidRDefault="00CF4524" w:rsidP="00CF4524">
      <w:pPr>
        <w:pStyle w:val="NoSpacing"/>
        <w:jc w:val="both"/>
        <w:rPr>
          <w:rFonts w:ascii="Arial" w:hAnsi="Arial" w:cs="Arial"/>
        </w:rPr>
      </w:pPr>
      <w:r w:rsidRPr="00CF4524">
        <w:rPr>
          <w:rFonts w:ascii="Arial" w:hAnsi="Arial" w:cs="Arial"/>
        </w:rPr>
        <w:t xml:space="preserve">As an INGO, the organization requires a </w:t>
      </w:r>
      <w:r w:rsidRPr="00CF4524">
        <w:rPr>
          <w:rFonts w:ascii="Arial" w:hAnsi="Arial" w:cs="Arial"/>
          <w:b/>
          <w:bCs/>
        </w:rPr>
        <w:t>reliable legal partner</w:t>
      </w:r>
      <w:r w:rsidRPr="00CF4524">
        <w:rPr>
          <w:rFonts w:ascii="Arial" w:hAnsi="Arial" w:cs="Arial"/>
        </w:rPr>
        <w:t xml:space="preserve"> to ensure compliance with national laws while protecting its humanitarian mission. Specifically, </w:t>
      </w:r>
      <w:r w:rsidR="00DF2C37">
        <w:rPr>
          <w:rFonts w:ascii="Arial" w:hAnsi="Arial" w:cs="Arial"/>
        </w:rPr>
        <w:t xml:space="preserve">Alight </w:t>
      </w:r>
      <w:r w:rsidRPr="00CF4524">
        <w:rPr>
          <w:rFonts w:ascii="Arial" w:hAnsi="Arial" w:cs="Arial"/>
        </w:rPr>
        <w:t>seeks:</w:t>
      </w:r>
    </w:p>
    <w:p w14:paraId="41B44C41" w14:textId="77777777" w:rsidR="00DF2C37" w:rsidRPr="00CF4524" w:rsidRDefault="00DF2C37" w:rsidP="00CF4524">
      <w:pPr>
        <w:pStyle w:val="NoSpacing"/>
        <w:jc w:val="both"/>
        <w:rPr>
          <w:rFonts w:ascii="Arial" w:hAnsi="Arial" w:cs="Arial"/>
        </w:rPr>
      </w:pPr>
    </w:p>
    <w:p w14:paraId="2CC6B0D1" w14:textId="77777777" w:rsidR="00CF4524" w:rsidRPr="00CF4524" w:rsidRDefault="00CF4524" w:rsidP="00CF4524">
      <w:pPr>
        <w:pStyle w:val="NoSpacing"/>
        <w:numPr>
          <w:ilvl w:val="0"/>
          <w:numId w:val="3"/>
        </w:numPr>
        <w:jc w:val="both"/>
        <w:rPr>
          <w:rFonts w:ascii="Arial" w:hAnsi="Arial" w:cs="Arial"/>
        </w:rPr>
      </w:pPr>
      <w:r w:rsidRPr="00CF4524">
        <w:rPr>
          <w:rFonts w:ascii="Arial" w:hAnsi="Arial" w:cs="Arial"/>
          <w:b/>
          <w:bCs/>
        </w:rPr>
        <w:t>Proactive legal support</w:t>
      </w:r>
      <w:r w:rsidRPr="00CF4524">
        <w:rPr>
          <w:rFonts w:ascii="Arial" w:hAnsi="Arial" w:cs="Arial"/>
        </w:rPr>
        <w:t xml:space="preserve"> to navigate administrative requirements (e.g., RRC registration, tax clearance).</w:t>
      </w:r>
    </w:p>
    <w:p w14:paraId="5D7A0BE1" w14:textId="610F8B2C" w:rsidR="00CF4524" w:rsidRPr="00CF4524" w:rsidRDefault="00CF4524" w:rsidP="00CF4524">
      <w:pPr>
        <w:pStyle w:val="NoSpacing"/>
        <w:numPr>
          <w:ilvl w:val="0"/>
          <w:numId w:val="3"/>
        </w:numPr>
        <w:jc w:val="both"/>
        <w:rPr>
          <w:rFonts w:ascii="Arial" w:hAnsi="Arial" w:cs="Arial"/>
        </w:rPr>
      </w:pPr>
      <w:r w:rsidRPr="00CF4524">
        <w:rPr>
          <w:rFonts w:ascii="Arial" w:hAnsi="Arial" w:cs="Arial"/>
        </w:rPr>
        <w:t xml:space="preserve">Review and drafting of employment contracts, </w:t>
      </w:r>
      <w:r w:rsidR="00DF2C37">
        <w:rPr>
          <w:rFonts w:ascii="Arial" w:hAnsi="Arial" w:cs="Arial"/>
        </w:rPr>
        <w:t>Supplier/</w:t>
      </w:r>
      <w:r w:rsidRPr="00CF4524">
        <w:rPr>
          <w:rFonts w:ascii="Arial" w:hAnsi="Arial" w:cs="Arial"/>
        </w:rPr>
        <w:t xml:space="preserve">vendor agreements, and </w:t>
      </w:r>
      <w:proofErr w:type="spellStart"/>
      <w:r w:rsidRPr="00CF4524">
        <w:rPr>
          <w:rFonts w:ascii="Arial" w:hAnsi="Arial" w:cs="Arial"/>
        </w:rPr>
        <w:t>MoUs</w:t>
      </w:r>
      <w:proofErr w:type="spellEnd"/>
      <w:r w:rsidRPr="00CF4524">
        <w:rPr>
          <w:rFonts w:ascii="Arial" w:hAnsi="Arial" w:cs="Arial"/>
        </w:rPr>
        <w:t xml:space="preserve"> with government and partners.</w:t>
      </w:r>
    </w:p>
    <w:p w14:paraId="2E269B4B" w14:textId="77777777" w:rsidR="00CF4524" w:rsidRPr="00CF4524" w:rsidRDefault="00CF4524" w:rsidP="00CF4524">
      <w:pPr>
        <w:pStyle w:val="NoSpacing"/>
        <w:numPr>
          <w:ilvl w:val="0"/>
          <w:numId w:val="3"/>
        </w:numPr>
        <w:jc w:val="both"/>
        <w:rPr>
          <w:rFonts w:ascii="Arial" w:hAnsi="Arial" w:cs="Arial"/>
        </w:rPr>
      </w:pPr>
      <w:r w:rsidRPr="00CF4524">
        <w:rPr>
          <w:rFonts w:ascii="Arial" w:hAnsi="Arial" w:cs="Arial"/>
          <w:b/>
          <w:bCs/>
        </w:rPr>
        <w:t>Guidance on labor law</w:t>
      </w:r>
      <w:r w:rsidRPr="00CF4524">
        <w:rPr>
          <w:rFonts w:ascii="Arial" w:hAnsi="Arial" w:cs="Arial"/>
        </w:rPr>
        <w:t xml:space="preserve"> for staff disputes, termination, and disciplinary actions.</w:t>
      </w:r>
    </w:p>
    <w:p w14:paraId="1A205CF2" w14:textId="77777777" w:rsidR="00CF4524" w:rsidRPr="00CF4524" w:rsidRDefault="00CF4524" w:rsidP="00CF4524">
      <w:pPr>
        <w:pStyle w:val="NoSpacing"/>
        <w:numPr>
          <w:ilvl w:val="0"/>
          <w:numId w:val="3"/>
        </w:numPr>
        <w:jc w:val="both"/>
        <w:rPr>
          <w:rFonts w:ascii="Arial" w:hAnsi="Arial" w:cs="Arial"/>
        </w:rPr>
      </w:pPr>
      <w:r w:rsidRPr="00CF4524">
        <w:rPr>
          <w:rFonts w:ascii="Arial" w:hAnsi="Arial" w:cs="Arial"/>
        </w:rPr>
        <w:t xml:space="preserve">Assistance in securing and renewing </w:t>
      </w:r>
      <w:r w:rsidRPr="00CF4524">
        <w:rPr>
          <w:rFonts w:ascii="Arial" w:hAnsi="Arial" w:cs="Arial"/>
          <w:b/>
          <w:bCs/>
        </w:rPr>
        <w:t>work permits and visas</w:t>
      </w:r>
      <w:r w:rsidRPr="00CF4524">
        <w:rPr>
          <w:rFonts w:ascii="Arial" w:hAnsi="Arial" w:cs="Arial"/>
        </w:rPr>
        <w:t xml:space="preserve"> for expatriate staff.</w:t>
      </w:r>
    </w:p>
    <w:p w14:paraId="669A7B71" w14:textId="77777777" w:rsidR="00CF4524" w:rsidRPr="00CF4524" w:rsidRDefault="00CF4524" w:rsidP="00CF4524">
      <w:pPr>
        <w:pStyle w:val="NoSpacing"/>
        <w:numPr>
          <w:ilvl w:val="0"/>
          <w:numId w:val="3"/>
        </w:numPr>
        <w:jc w:val="both"/>
        <w:rPr>
          <w:rFonts w:ascii="Arial" w:hAnsi="Arial" w:cs="Arial"/>
        </w:rPr>
      </w:pPr>
      <w:r w:rsidRPr="00CF4524">
        <w:rPr>
          <w:rFonts w:ascii="Arial" w:hAnsi="Arial" w:cs="Arial"/>
          <w:b/>
          <w:bCs/>
        </w:rPr>
        <w:t>Representation</w:t>
      </w:r>
      <w:r w:rsidRPr="00CF4524">
        <w:rPr>
          <w:rFonts w:ascii="Arial" w:hAnsi="Arial" w:cs="Arial"/>
        </w:rPr>
        <w:t xml:space="preserve"> in court or in front of government agencies when necessary.</w:t>
      </w:r>
    </w:p>
    <w:p w14:paraId="4F7E7B7C" w14:textId="77777777" w:rsidR="00CF4524" w:rsidRPr="00CF4524" w:rsidRDefault="00CF4524" w:rsidP="00CF4524">
      <w:pPr>
        <w:pStyle w:val="NoSpacing"/>
        <w:numPr>
          <w:ilvl w:val="0"/>
          <w:numId w:val="3"/>
        </w:numPr>
        <w:jc w:val="both"/>
        <w:rPr>
          <w:rFonts w:ascii="Arial" w:hAnsi="Arial" w:cs="Arial"/>
        </w:rPr>
      </w:pPr>
      <w:r w:rsidRPr="00CF4524">
        <w:rPr>
          <w:rFonts w:ascii="Arial" w:hAnsi="Arial" w:cs="Arial"/>
        </w:rPr>
        <w:t xml:space="preserve">Legal interpretation and advisory on new or evolving </w:t>
      </w:r>
      <w:r w:rsidRPr="00CF4524">
        <w:rPr>
          <w:rFonts w:ascii="Arial" w:hAnsi="Arial" w:cs="Arial"/>
          <w:b/>
          <w:bCs/>
        </w:rPr>
        <w:t>national legislation</w:t>
      </w:r>
      <w:r w:rsidRPr="00CF4524">
        <w:rPr>
          <w:rFonts w:ascii="Arial" w:hAnsi="Arial" w:cs="Arial"/>
        </w:rPr>
        <w:t xml:space="preserve"> affecting NGO operations.</w:t>
      </w:r>
    </w:p>
    <w:p w14:paraId="4254314B" w14:textId="77777777" w:rsidR="00CF4524" w:rsidRPr="00CF4524" w:rsidRDefault="00CF4524" w:rsidP="00CF4524">
      <w:pPr>
        <w:pStyle w:val="NoSpacing"/>
        <w:numPr>
          <w:ilvl w:val="0"/>
          <w:numId w:val="3"/>
        </w:numPr>
        <w:jc w:val="both"/>
        <w:rPr>
          <w:rFonts w:ascii="Arial" w:hAnsi="Arial" w:cs="Arial"/>
        </w:rPr>
      </w:pPr>
      <w:r w:rsidRPr="00CF4524">
        <w:rPr>
          <w:rFonts w:ascii="Arial" w:hAnsi="Arial" w:cs="Arial"/>
        </w:rPr>
        <w:t xml:space="preserve">Support during </w:t>
      </w:r>
      <w:r w:rsidRPr="00CF4524">
        <w:rPr>
          <w:rFonts w:ascii="Arial" w:hAnsi="Arial" w:cs="Arial"/>
          <w:b/>
          <w:bCs/>
        </w:rPr>
        <w:t>donor audits, compliance checks, or legal investigations</w:t>
      </w:r>
      <w:r w:rsidRPr="00CF4524">
        <w:rPr>
          <w:rFonts w:ascii="Arial" w:hAnsi="Arial" w:cs="Arial"/>
        </w:rPr>
        <w:t>.</w:t>
      </w:r>
    </w:p>
    <w:p w14:paraId="32F3DDA4" w14:textId="77777777" w:rsidR="00CF4524" w:rsidRDefault="00CF4524" w:rsidP="00CF4524">
      <w:pPr>
        <w:pStyle w:val="NoSpacing"/>
        <w:numPr>
          <w:ilvl w:val="0"/>
          <w:numId w:val="3"/>
        </w:numPr>
        <w:jc w:val="both"/>
        <w:rPr>
          <w:rFonts w:ascii="Arial" w:hAnsi="Arial" w:cs="Arial"/>
        </w:rPr>
      </w:pPr>
      <w:r w:rsidRPr="00CF4524">
        <w:rPr>
          <w:rFonts w:ascii="Arial" w:hAnsi="Arial" w:cs="Arial"/>
        </w:rPr>
        <w:t xml:space="preserve">Mediation or support in resolving </w:t>
      </w:r>
      <w:r w:rsidRPr="00CF4524">
        <w:rPr>
          <w:rFonts w:ascii="Arial" w:hAnsi="Arial" w:cs="Arial"/>
          <w:b/>
          <w:bCs/>
        </w:rPr>
        <w:t>community or land disputes</w:t>
      </w:r>
      <w:r w:rsidRPr="00CF4524">
        <w:rPr>
          <w:rFonts w:ascii="Arial" w:hAnsi="Arial" w:cs="Arial"/>
        </w:rPr>
        <w:t xml:space="preserve"> that may affect program delivery.</w:t>
      </w:r>
    </w:p>
    <w:p w14:paraId="5562B912" w14:textId="77777777" w:rsidR="00324B71" w:rsidRDefault="00324B71" w:rsidP="00324B71">
      <w:pPr>
        <w:pStyle w:val="NoSpacing"/>
        <w:ind w:left="720"/>
        <w:jc w:val="both"/>
        <w:rPr>
          <w:rFonts w:ascii="Arial" w:hAnsi="Arial" w:cs="Arial"/>
        </w:rPr>
      </w:pPr>
    </w:p>
    <w:p w14:paraId="254F4B60" w14:textId="1F9C0DF1" w:rsidR="00393F84" w:rsidRDefault="00E558DA" w:rsidP="00D86215">
      <w:pPr>
        <w:pStyle w:val="NoSpacing"/>
        <w:jc w:val="both"/>
        <w:rPr>
          <w:rFonts w:ascii="Arial" w:hAnsi="Arial" w:cs="Arial"/>
        </w:rPr>
      </w:pPr>
      <w:r>
        <w:rPr>
          <w:rFonts w:ascii="Arial" w:hAnsi="Arial" w:cs="Arial"/>
        </w:rPr>
        <w:lastRenderedPageBreak/>
        <w:t xml:space="preserve">All </w:t>
      </w:r>
      <w:r w:rsidR="00D95527">
        <w:rPr>
          <w:rFonts w:ascii="Arial" w:hAnsi="Arial" w:cs="Arial"/>
        </w:rPr>
        <w:t>the eligible legal firms and individuals to drop</w:t>
      </w:r>
      <w:r w:rsidR="00C9445E">
        <w:rPr>
          <w:rFonts w:ascii="Arial" w:hAnsi="Arial" w:cs="Arial"/>
        </w:rPr>
        <w:t xml:space="preserve"> their proposal to Alight office </w:t>
      </w:r>
      <w:r w:rsidR="00061D14">
        <w:rPr>
          <w:rFonts w:ascii="Arial" w:hAnsi="Arial" w:cs="Arial"/>
        </w:rPr>
        <w:t>plot 709,3K</w:t>
      </w:r>
      <w:r w:rsidR="00654752">
        <w:rPr>
          <w:rFonts w:ascii="Arial" w:hAnsi="Arial" w:cs="Arial"/>
        </w:rPr>
        <w:t xml:space="preserve">-south off ministries </w:t>
      </w:r>
      <w:r w:rsidR="00632367">
        <w:rPr>
          <w:rFonts w:ascii="Arial" w:hAnsi="Arial" w:cs="Arial"/>
        </w:rPr>
        <w:t>road (</w:t>
      </w:r>
      <w:r w:rsidR="00E47D34">
        <w:rPr>
          <w:rFonts w:ascii="Arial" w:hAnsi="Arial" w:cs="Arial"/>
        </w:rPr>
        <w:t>B</w:t>
      </w:r>
      <w:r w:rsidR="00D246A0">
        <w:rPr>
          <w:rFonts w:ascii="Arial" w:hAnsi="Arial" w:cs="Arial"/>
        </w:rPr>
        <w:t>ehind Phenicia) Ko</w:t>
      </w:r>
      <w:r w:rsidR="00632367">
        <w:rPr>
          <w:rFonts w:ascii="Arial" w:hAnsi="Arial" w:cs="Arial"/>
        </w:rPr>
        <w:t>l</w:t>
      </w:r>
      <w:r w:rsidR="00D246A0">
        <w:rPr>
          <w:rFonts w:ascii="Arial" w:hAnsi="Arial" w:cs="Arial"/>
        </w:rPr>
        <w:t>o</w:t>
      </w:r>
      <w:r w:rsidR="00632367">
        <w:rPr>
          <w:rFonts w:ascii="Arial" w:hAnsi="Arial" w:cs="Arial"/>
        </w:rPr>
        <w:t>l</w:t>
      </w:r>
      <w:r w:rsidR="00D246A0">
        <w:rPr>
          <w:rFonts w:ascii="Arial" w:hAnsi="Arial" w:cs="Arial"/>
        </w:rPr>
        <w:t xml:space="preserve">o Juba South </w:t>
      </w:r>
      <w:r w:rsidR="00886BCE">
        <w:rPr>
          <w:rFonts w:ascii="Arial" w:hAnsi="Arial" w:cs="Arial"/>
        </w:rPr>
        <w:t>S</w:t>
      </w:r>
      <w:r w:rsidR="00D246A0">
        <w:rPr>
          <w:rFonts w:ascii="Arial" w:hAnsi="Arial" w:cs="Arial"/>
        </w:rPr>
        <w:t>udan</w:t>
      </w:r>
      <w:r w:rsidR="00654752">
        <w:rPr>
          <w:rFonts w:ascii="Arial" w:hAnsi="Arial" w:cs="Arial"/>
        </w:rPr>
        <w:t xml:space="preserve"> by 22</w:t>
      </w:r>
      <w:r w:rsidR="00D246A0" w:rsidRPr="00D246A0">
        <w:rPr>
          <w:rFonts w:ascii="Arial" w:hAnsi="Arial" w:cs="Arial"/>
          <w:vertAlign w:val="superscript"/>
        </w:rPr>
        <w:t>nd</w:t>
      </w:r>
      <w:r w:rsidR="00D246A0">
        <w:rPr>
          <w:rFonts w:ascii="Arial" w:hAnsi="Arial" w:cs="Arial"/>
        </w:rPr>
        <w:t xml:space="preserve"> </w:t>
      </w:r>
      <w:r w:rsidR="00654752">
        <w:rPr>
          <w:rFonts w:ascii="Arial" w:hAnsi="Arial" w:cs="Arial"/>
        </w:rPr>
        <w:t>-4-</w:t>
      </w:r>
      <w:r w:rsidR="00936BE7">
        <w:rPr>
          <w:rFonts w:ascii="Arial" w:hAnsi="Arial" w:cs="Arial"/>
        </w:rPr>
        <w:t>2025.</w:t>
      </w:r>
    </w:p>
    <w:p w14:paraId="12FD4189" w14:textId="77777777" w:rsidR="00912FBC" w:rsidRDefault="00912FBC" w:rsidP="00324B71">
      <w:pPr>
        <w:pStyle w:val="NoSpacing"/>
        <w:ind w:left="720"/>
        <w:jc w:val="both"/>
        <w:rPr>
          <w:rFonts w:ascii="Arial" w:hAnsi="Arial" w:cs="Arial"/>
        </w:rPr>
      </w:pPr>
    </w:p>
    <w:p w14:paraId="45A33DEB" w14:textId="77777777" w:rsidR="00912FBC" w:rsidRPr="00CF4524" w:rsidRDefault="00912FBC" w:rsidP="00324B71">
      <w:pPr>
        <w:pStyle w:val="NoSpacing"/>
        <w:ind w:left="720"/>
        <w:jc w:val="both"/>
        <w:rPr>
          <w:rFonts w:ascii="Arial" w:hAnsi="Arial" w:cs="Arial"/>
        </w:rPr>
      </w:pPr>
    </w:p>
    <w:p w14:paraId="508ABCC9" w14:textId="77777777" w:rsidR="00CF4524" w:rsidRPr="00CF4524" w:rsidRDefault="00571D19" w:rsidP="00CF4524">
      <w:pPr>
        <w:pStyle w:val="NoSpacing"/>
        <w:jc w:val="both"/>
        <w:rPr>
          <w:rFonts w:ascii="Arial" w:hAnsi="Arial" w:cs="Arial"/>
        </w:rPr>
      </w:pPr>
      <w:r>
        <w:rPr>
          <w:rFonts w:ascii="Arial" w:hAnsi="Arial" w:cs="Arial"/>
        </w:rPr>
        <w:pict w14:anchorId="3411635E">
          <v:rect id="_x0000_i1027" style="width:0;height:1.5pt" o:hralign="center" o:hrstd="t" o:hr="t" fillcolor="#a0a0a0" stroked="f"/>
        </w:pict>
      </w:r>
    </w:p>
    <w:p w14:paraId="2EE50BC2" w14:textId="1FD6455E" w:rsidR="00CF4524" w:rsidRPr="00CF4524" w:rsidRDefault="00DF2C37" w:rsidP="00CF4524">
      <w:pPr>
        <w:pStyle w:val="NoSpacing"/>
        <w:jc w:val="both"/>
        <w:rPr>
          <w:rFonts w:ascii="Arial" w:hAnsi="Arial" w:cs="Arial"/>
        </w:rPr>
      </w:pPr>
      <w:r>
        <w:rPr>
          <w:rFonts w:ascii="Arial" w:hAnsi="Arial" w:cs="Arial"/>
        </w:rPr>
        <w:t xml:space="preserve">Alight </w:t>
      </w:r>
      <w:r w:rsidR="00CF4524" w:rsidRPr="00CF4524">
        <w:rPr>
          <w:rFonts w:ascii="Arial" w:hAnsi="Arial" w:cs="Arial"/>
        </w:rPr>
        <w:t>aims to build a collaborative and dependable relationship with a qualified law firm that understands the operational complexities and humanitarian principles guiding its work in South Sudan.</w:t>
      </w:r>
    </w:p>
    <w:sectPr w:rsidR="00CF4524" w:rsidRPr="00CF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D001A"/>
    <w:multiLevelType w:val="multilevel"/>
    <w:tmpl w:val="0C9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9517E"/>
    <w:multiLevelType w:val="multilevel"/>
    <w:tmpl w:val="1B68E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27063C"/>
    <w:multiLevelType w:val="multilevel"/>
    <w:tmpl w:val="CF92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532325">
    <w:abstractNumId w:val="1"/>
  </w:num>
  <w:num w:numId="2" w16cid:durableId="429398759">
    <w:abstractNumId w:val="2"/>
  </w:num>
  <w:num w:numId="3" w16cid:durableId="51087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24"/>
    <w:rsid w:val="00061D14"/>
    <w:rsid w:val="00324B71"/>
    <w:rsid w:val="00350C5C"/>
    <w:rsid w:val="00393F84"/>
    <w:rsid w:val="004E694C"/>
    <w:rsid w:val="00571D19"/>
    <w:rsid w:val="005B31BA"/>
    <w:rsid w:val="00632367"/>
    <w:rsid w:val="00654752"/>
    <w:rsid w:val="007839E2"/>
    <w:rsid w:val="007D1702"/>
    <w:rsid w:val="007F5F01"/>
    <w:rsid w:val="00886BCE"/>
    <w:rsid w:val="008B2C88"/>
    <w:rsid w:val="00912FBC"/>
    <w:rsid w:val="00936A36"/>
    <w:rsid w:val="00936BE7"/>
    <w:rsid w:val="00C004F2"/>
    <w:rsid w:val="00C9445E"/>
    <w:rsid w:val="00CF4524"/>
    <w:rsid w:val="00D246A0"/>
    <w:rsid w:val="00D86215"/>
    <w:rsid w:val="00D95527"/>
    <w:rsid w:val="00DF2C37"/>
    <w:rsid w:val="00E47D34"/>
    <w:rsid w:val="00E558DA"/>
    <w:rsid w:val="00E55AA8"/>
    <w:rsid w:val="00E9463C"/>
    <w:rsid w:val="00EC6510"/>
    <w:rsid w:val="00F60808"/>
    <w:rsid w:val="00F9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C2C281C"/>
  <w15:chartTrackingRefBased/>
  <w15:docId w15:val="{D82493B6-38D1-47A9-9B66-727662BA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524"/>
    <w:rPr>
      <w:rFonts w:eastAsiaTheme="majorEastAsia" w:cstheme="majorBidi"/>
      <w:color w:val="272727" w:themeColor="text1" w:themeTint="D8"/>
    </w:rPr>
  </w:style>
  <w:style w:type="paragraph" w:styleId="Title">
    <w:name w:val="Title"/>
    <w:basedOn w:val="Normal"/>
    <w:next w:val="Normal"/>
    <w:link w:val="TitleChar"/>
    <w:uiPriority w:val="10"/>
    <w:qFormat/>
    <w:rsid w:val="00CF4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524"/>
    <w:pPr>
      <w:spacing w:before="160"/>
      <w:jc w:val="center"/>
    </w:pPr>
    <w:rPr>
      <w:i/>
      <w:iCs/>
      <w:color w:val="404040" w:themeColor="text1" w:themeTint="BF"/>
    </w:rPr>
  </w:style>
  <w:style w:type="character" w:customStyle="1" w:styleId="QuoteChar">
    <w:name w:val="Quote Char"/>
    <w:basedOn w:val="DefaultParagraphFont"/>
    <w:link w:val="Quote"/>
    <w:uiPriority w:val="29"/>
    <w:rsid w:val="00CF4524"/>
    <w:rPr>
      <w:i/>
      <w:iCs/>
      <w:color w:val="404040" w:themeColor="text1" w:themeTint="BF"/>
    </w:rPr>
  </w:style>
  <w:style w:type="paragraph" w:styleId="ListParagraph">
    <w:name w:val="List Paragraph"/>
    <w:basedOn w:val="Normal"/>
    <w:uiPriority w:val="34"/>
    <w:qFormat/>
    <w:rsid w:val="00CF4524"/>
    <w:pPr>
      <w:ind w:left="720"/>
      <w:contextualSpacing/>
    </w:pPr>
  </w:style>
  <w:style w:type="character" w:styleId="IntenseEmphasis">
    <w:name w:val="Intense Emphasis"/>
    <w:basedOn w:val="DefaultParagraphFont"/>
    <w:uiPriority w:val="21"/>
    <w:qFormat/>
    <w:rsid w:val="00CF4524"/>
    <w:rPr>
      <w:i/>
      <w:iCs/>
      <w:color w:val="0F4761" w:themeColor="accent1" w:themeShade="BF"/>
    </w:rPr>
  </w:style>
  <w:style w:type="paragraph" w:styleId="IntenseQuote">
    <w:name w:val="Intense Quote"/>
    <w:basedOn w:val="Normal"/>
    <w:next w:val="Normal"/>
    <w:link w:val="IntenseQuoteChar"/>
    <w:uiPriority w:val="30"/>
    <w:qFormat/>
    <w:rsid w:val="00CF4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524"/>
    <w:rPr>
      <w:i/>
      <w:iCs/>
      <w:color w:val="0F4761" w:themeColor="accent1" w:themeShade="BF"/>
    </w:rPr>
  </w:style>
  <w:style w:type="character" w:styleId="IntenseReference">
    <w:name w:val="Intense Reference"/>
    <w:basedOn w:val="DefaultParagraphFont"/>
    <w:uiPriority w:val="32"/>
    <w:qFormat/>
    <w:rsid w:val="00CF4524"/>
    <w:rPr>
      <w:b/>
      <w:bCs/>
      <w:smallCaps/>
      <w:color w:val="0F4761" w:themeColor="accent1" w:themeShade="BF"/>
      <w:spacing w:val="5"/>
    </w:rPr>
  </w:style>
  <w:style w:type="paragraph" w:styleId="NoSpacing">
    <w:name w:val="No Spacing"/>
    <w:uiPriority w:val="1"/>
    <w:qFormat/>
    <w:rsid w:val="00CF4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4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EVANS OCHEJEH</dc:creator>
  <cp:keywords/>
  <dc:description/>
  <cp:lastModifiedBy>Marita Sylivia Loboka</cp:lastModifiedBy>
  <cp:revision>39</cp:revision>
  <dcterms:created xsi:type="dcterms:W3CDTF">2025-04-16T14:55:00Z</dcterms:created>
  <dcterms:modified xsi:type="dcterms:W3CDTF">2025-04-16T16:12:00Z</dcterms:modified>
</cp:coreProperties>
</file>