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18" w:rsidRDefault="00A30618">
      <w:pPr>
        <w:rPr>
          <w:sz w:val="18"/>
          <w:szCs w:val="18"/>
        </w:rPr>
      </w:pPr>
    </w:p>
    <w:p w:rsidR="00A30618" w:rsidRDefault="00A30618">
      <w:pPr>
        <w:rPr>
          <w:sz w:val="18"/>
          <w:szCs w:val="18"/>
        </w:rPr>
      </w:pPr>
      <w:r>
        <w:rPr>
          <w:sz w:val="18"/>
          <w:szCs w:val="18"/>
        </w:rPr>
        <w:t xml:space="preserve">                                                                              </w:t>
      </w:r>
      <w:r w:rsidRPr="00096E70">
        <w:rPr>
          <w:noProof/>
          <w:color w:val="1F497D"/>
          <w:sz w:val="24"/>
          <w:szCs w:val="24"/>
          <w:lang w:eastAsia="en-GB"/>
        </w:rPr>
        <w:drawing>
          <wp:inline distT="0" distB="0" distL="0" distR="0" wp14:anchorId="2A3349C3" wp14:editId="0CA18254">
            <wp:extent cx="1095375" cy="895350"/>
            <wp:effectExtent l="0" t="0" r="9525" b="0"/>
            <wp:docPr id="2" name="Picture 2" descr="EyeMedia Vector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Media Vector Color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p w:rsidR="003F0063" w:rsidRPr="00096E70" w:rsidRDefault="00481531" w:rsidP="00A30618">
      <w:pPr>
        <w:jc w:val="center"/>
        <w:rPr>
          <w:b/>
          <w:sz w:val="24"/>
          <w:szCs w:val="24"/>
        </w:rPr>
      </w:pPr>
      <w:r w:rsidRPr="00096E70">
        <w:rPr>
          <w:b/>
          <w:sz w:val="24"/>
          <w:szCs w:val="24"/>
        </w:rPr>
        <w:t>Call for pre-qualification of Suppliers and</w:t>
      </w:r>
      <w:r w:rsidR="00384D76">
        <w:rPr>
          <w:b/>
          <w:sz w:val="24"/>
          <w:szCs w:val="24"/>
        </w:rPr>
        <w:t xml:space="preserve"> Service</w:t>
      </w:r>
      <w:r w:rsidRPr="00096E70">
        <w:rPr>
          <w:b/>
          <w:sz w:val="24"/>
          <w:szCs w:val="24"/>
        </w:rPr>
        <w:t xml:space="preserve"> Providers</w:t>
      </w:r>
    </w:p>
    <w:p w:rsidR="00481531" w:rsidRPr="00096E70" w:rsidRDefault="00481531" w:rsidP="00481531">
      <w:pPr>
        <w:pStyle w:val="ListParagraph"/>
        <w:numPr>
          <w:ilvl w:val="0"/>
          <w:numId w:val="1"/>
        </w:numPr>
        <w:rPr>
          <w:b/>
          <w:sz w:val="24"/>
          <w:szCs w:val="24"/>
        </w:rPr>
      </w:pPr>
      <w:r w:rsidRPr="00096E70">
        <w:rPr>
          <w:b/>
          <w:sz w:val="24"/>
          <w:szCs w:val="24"/>
        </w:rPr>
        <w:t>Introduction</w:t>
      </w:r>
    </w:p>
    <w:p w:rsidR="00481531" w:rsidRPr="00096E70" w:rsidRDefault="00481531" w:rsidP="00481531">
      <w:pPr>
        <w:rPr>
          <w:sz w:val="20"/>
          <w:szCs w:val="20"/>
        </w:rPr>
      </w:pPr>
      <w:r w:rsidRPr="00096E70">
        <w:rPr>
          <w:sz w:val="20"/>
          <w:szCs w:val="20"/>
        </w:rPr>
        <w:t>Eye Media is a non-profit, non-governmental organization registered in 2012 to manage Eye Radio FM in Juba, South Sudan, Eye Media’s strategic Vision is to develop into a self-sustaining independent media development organization serving all of South Sudan. Eye Media is supported financially by the United States Agency for International Development (USAID) to operate Eye Radio FM station in juba and its repeater network across the 10 states capitals of South Sudan.</w:t>
      </w:r>
    </w:p>
    <w:p w:rsidR="00FD2D6C" w:rsidRPr="00096E70" w:rsidRDefault="00481531" w:rsidP="00481531">
      <w:pPr>
        <w:rPr>
          <w:sz w:val="20"/>
          <w:szCs w:val="20"/>
        </w:rPr>
      </w:pPr>
      <w:r w:rsidRPr="00096E70">
        <w:rPr>
          <w:sz w:val="20"/>
          <w:szCs w:val="20"/>
        </w:rPr>
        <w:t xml:space="preserve">Eye Media is developing an updated list of suppliers’ database and hence calls for </w:t>
      </w:r>
      <w:r w:rsidR="00FD2D6C" w:rsidRPr="00096E70">
        <w:rPr>
          <w:sz w:val="20"/>
          <w:szCs w:val="20"/>
        </w:rPr>
        <w:t>qualified current and prospective suppliers to submit their applications to participate in the Supplier registration process for the provision of various categories</w:t>
      </w:r>
      <w:r w:rsidRPr="00096E70">
        <w:rPr>
          <w:sz w:val="20"/>
          <w:szCs w:val="20"/>
        </w:rPr>
        <w:t xml:space="preserve"> </w:t>
      </w:r>
      <w:r w:rsidR="00FD2D6C" w:rsidRPr="00096E70">
        <w:rPr>
          <w:sz w:val="20"/>
          <w:szCs w:val="20"/>
        </w:rPr>
        <w:t>of goods and services. The pre-qualification will be followed by a Request for Quotations (RFQ), Invitation to Bid (ITB) and/or Request for Proposal (RFP) which may result in long Term Agreements with the Successful bidders.</w:t>
      </w:r>
    </w:p>
    <w:tbl>
      <w:tblPr>
        <w:tblStyle w:val="TableGrid"/>
        <w:tblW w:w="0" w:type="auto"/>
        <w:tblLook w:val="04A0" w:firstRow="1" w:lastRow="0" w:firstColumn="1" w:lastColumn="0" w:noHBand="0" w:noVBand="1"/>
      </w:tblPr>
      <w:tblGrid>
        <w:gridCol w:w="806"/>
        <w:gridCol w:w="8210"/>
      </w:tblGrid>
      <w:tr w:rsidR="00FD2D6C" w:rsidRPr="00096E70" w:rsidTr="006C44D0">
        <w:tc>
          <w:tcPr>
            <w:tcW w:w="806" w:type="dxa"/>
          </w:tcPr>
          <w:p w:rsidR="00FD2D6C" w:rsidRPr="00096E70" w:rsidRDefault="00FD2D6C" w:rsidP="00481531">
            <w:pPr>
              <w:rPr>
                <w:b/>
                <w:sz w:val="20"/>
                <w:szCs w:val="20"/>
              </w:rPr>
            </w:pPr>
            <w:r w:rsidRPr="00096E70">
              <w:rPr>
                <w:b/>
                <w:sz w:val="20"/>
                <w:szCs w:val="20"/>
              </w:rPr>
              <w:t>No</w:t>
            </w:r>
          </w:p>
        </w:tc>
        <w:tc>
          <w:tcPr>
            <w:tcW w:w="8210" w:type="dxa"/>
          </w:tcPr>
          <w:p w:rsidR="00FD2D6C" w:rsidRPr="00096E70" w:rsidRDefault="00FD2D6C" w:rsidP="00481531">
            <w:pPr>
              <w:rPr>
                <w:b/>
                <w:sz w:val="20"/>
                <w:szCs w:val="20"/>
              </w:rPr>
            </w:pPr>
            <w:r w:rsidRPr="00096E70">
              <w:rPr>
                <w:b/>
                <w:sz w:val="20"/>
                <w:szCs w:val="20"/>
              </w:rPr>
              <w:t>Categories</w:t>
            </w:r>
          </w:p>
        </w:tc>
      </w:tr>
      <w:tr w:rsidR="00FD2D6C" w:rsidRPr="00096E70" w:rsidTr="006C44D0">
        <w:tc>
          <w:tcPr>
            <w:tcW w:w="806" w:type="dxa"/>
          </w:tcPr>
          <w:p w:rsidR="00FD2D6C" w:rsidRPr="00096E70" w:rsidRDefault="00FD2D6C" w:rsidP="00481531">
            <w:pPr>
              <w:rPr>
                <w:sz w:val="20"/>
                <w:szCs w:val="20"/>
              </w:rPr>
            </w:pPr>
            <w:r w:rsidRPr="00096E70">
              <w:rPr>
                <w:sz w:val="20"/>
                <w:szCs w:val="20"/>
              </w:rPr>
              <w:t>01</w:t>
            </w:r>
          </w:p>
        </w:tc>
        <w:tc>
          <w:tcPr>
            <w:tcW w:w="8210" w:type="dxa"/>
          </w:tcPr>
          <w:p w:rsidR="00FD2D6C" w:rsidRPr="00096E70" w:rsidRDefault="00FD2D6C" w:rsidP="00481531">
            <w:pPr>
              <w:rPr>
                <w:sz w:val="20"/>
                <w:szCs w:val="20"/>
              </w:rPr>
            </w:pPr>
            <w:r w:rsidRPr="00096E70">
              <w:rPr>
                <w:sz w:val="20"/>
                <w:szCs w:val="20"/>
              </w:rPr>
              <w:t>Provision of Carpentry and wood works</w:t>
            </w:r>
          </w:p>
        </w:tc>
      </w:tr>
      <w:tr w:rsidR="00FD2D6C" w:rsidRPr="00096E70" w:rsidTr="006C44D0">
        <w:tc>
          <w:tcPr>
            <w:tcW w:w="806" w:type="dxa"/>
          </w:tcPr>
          <w:p w:rsidR="00FD2D6C" w:rsidRPr="00096E70" w:rsidRDefault="00FD2D6C" w:rsidP="00481531">
            <w:pPr>
              <w:rPr>
                <w:sz w:val="20"/>
                <w:szCs w:val="20"/>
              </w:rPr>
            </w:pPr>
            <w:r w:rsidRPr="00096E70">
              <w:rPr>
                <w:sz w:val="20"/>
                <w:szCs w:val="20"/>
              </w:rPr>
              <w:t>02</w:t>
            </w:r>
          </w:p>
        </w:tc>
        <w:tc>
          <w:tcPr>
            <w:tcW w:w="8210" w:type="dxa"/>
          </w:tcPr>
          <w:p w:rsidR="00FD2D6C" w:rsidRPr="00096E70" w:rsidRDefault="000A2223" w:rsidP="00481531">
            <w:pPr>
              <w:rPr>
                <w:sz w:val="20"/>
                <w:szCs w:val="20"/>
              </w:rPr>
            </w:pPr>
            <w:r w:rsidRPr="00096E70">
              <w:rPr>
                <w:sz w:val="20"/>
                <w:szCs w:val="20"/>
              </w:rPr>
              <w:t>Provision of Plumbing services</w:t>
            </w:r>
          </w:p>
        </w:tc>
      </w:tr>
      <w:tr w:rsidR="00FD2D6C" w:rsidRPr="00096E70" w:rsidTr="006C44D0">
        <w:tc>
          <w:tcPr>
            <w:tcW w:w="806" w:type="dxa"/>
          </w:tcPr>
          <w:p w:rsidR="00FD2D6C" w:rsidRPr="00096E70" w:rsidRDefault="000A2223" w:rsidP="00481531">
            <w:pPr>
              <w:rPr>
                <w:sz w:val="20"/>
                <w:szCs w:val="20"/>
              </w:rPr>
            </w:pPr>
            <w:r w:rsidRPr="00096E70">
              <w:rPr>
                <w:sz w:val="20"/>
                <w:szCs w:val="20"/>
              </w:rPr>
              <w:t>03</w:t>
            </w:r>
          </w:p>
        </w:tc>
        <w:tc>
          <w:tcPr>
            <w:tcW w:w="8210" w:type="dxa"/>
          </w:tcPr>
          <w:p w:rsidR="00FD2D6C" w:rsidRPr="00096E70" w:rsidRDefault="000A2223" w:rsidP="00481531">
            <w:pPr>
              <w:rPr>
                <w:sz w:val="20"/>
                <w:szCs w:val="20"/>
              </w:rPr>
            </w:pPr>
            <w:r w:rsidRPr="00096E70">
              <w:rPr>
                <w:sz w:val="20"/>
                <w:szCs w:val="20"/>
              </w:rPr>
              <w:t>Provision of Electrical &amp; Electronic Services, Hardware Sale and Works</w:t>
            </w:r>
          </w:p>
        </w:tc>
      </w:tr>
      <w:tr w:rsidR="00FD2D6C" w:rsidRPr="00096E70" w:rsidTr="006C44D0">
        <w:tc>
          <w:tcPr>
            <w:tcW w:w="806" w:type="dxa"/>
          </w:tcPr>
          <w:p w:rsidR="00FD2D6C" w:rsidRPr="00096E70" w:rsidRDefault="000A2223" w:rsidP="00481531">
            <w:pPr>
              <w:rPr>
                <w:sz w:val="20"/>
                <w:szCs w:val="20"/>
              </w:rPr>
            </w:pPr>
            <w:r w:rsidRPr="00096E70">
              <w:rPr>
                <w:sz w:val="20"/>
                <w:szCs w:val="20"/>
              </w:rPr>
              <w:t>04</w:t>
            </w:r>
          </w:p>
        </w:tc>
        <w:tc>
          <w:tcPr>
            <w:tcW w:w="8210" w:type="dxa"/>
          </w:tcPr>
          <w:p w:rsidR="00FD2D6C" w:rsidRPr="00096E70" w:rsidRDefault="000A2223" w:rsidP="00481531">
            <w:pPr>
              <w:rPr>
                <w:sz w:val="20"/>
                <w:szCs w:val="20"/>
              </w:rPr>
            </w:pPr>
            <w:r w:rsidRPr="00096E70">
              <w:rPr>
                <w:sz w:val="20"/>
                <w:szCs w:val="20"/>
              </w:rPr>
              <w:t>Provisions of fumigation Services</w:t>
            </w:r>
          </w:p>
        </w:tc>
      </w:tr>
      <w:tr w:rsidR="00FD2D6C" w:rsidRPr="00096E70" w:rsidTr="006C44D0">
        <w:tc>
          <w:tcPr>
            <w:tcW w:w="806" w:type="dxa"/>
          </w:tcPr>
          <w:p w:rsidR="00FD2D6C" w:rsidRPr="00096E70" w:rsidRDefault="000A2223" w:rsidP="00481531">
            <w:pPr>
              <w:rPr>
                <w:sz w:val="20"/>
                <w:szCs w:val="20"/>
              </w:rPr>
            </w:pPr>
            <w:r w:rsidRPr="00096E70">
              <w:rPr>
                <w:sz w:val="20"/>
                <w:szCs w:val="20"/>
              </w:rPr>
              <w:t>05</w:t>
            </w:r>
          </w:p>
        </w:tc>
        <w:tc>
          <w:tcPr>
            <w:tcW w:w="8210" w:type="dxa"/>
          </w:tcPr>
          <w:p w:rsidR="00FD2D6C" w:rsidRPr="00096E70" w:rsidRDefault="000A2223" w:rsidP="00481531">
            <w:pPr>
              <w:rPr>
                <w:sz w:val="20"/>
                <w:szCs w:val="20"/>
              </w:rPr>
            </w:pPr>
            <w:r w:rsidRPr="00096E70">
              <w:rPr>
                <w:sz w:val="20"/>
                <w:szCs w:val="20"/>
              </w:rPr>
              <w:t>Supply of generator Spare parts and provision of repair and maintenance services</w:t>
            </w:r>
          </w:p>
        </w:tc>
      </w:tr>
      <w:tr w:rsidR="00FD2D6C" w:rsidRPr="00096E70" w:rsidTr="006C44D0">
        <w:tc>
          <w:tcPr>
            <w:tcW w:w="806" w:type="dxa"/>
          </w:tcPr>
          <w:p w:rsidR="00FD2D6C" w:rsidRPr="00096E70" w:rsidRDefault="000A2223" w:rsidP="00481531">
            <w:pPr>
              <w:rPr>
                <w:sz w:val="20"/>
                <w:szCs w:val="20"/>
              </w:rPr>
            </w:pPr>
            <w:r w:rsidRPr="00096E70">
              <w:rPr>
                <w:sz w:val="20"/>
                <w:szCs w:val="20"/>
              </w:rPr>
              <w:t>06</w:t>
            </w:r>
          </w:p>
        </w:tc>
        <w:tc>
          <w:tcPr>
            <w:tcW w:w="8210" w:type="dxa"/>
          </w:tcPr>
          <w:p w:rsidR="00FD2D6C" w:rsidRPr="00096E70" w:rsidRDefault="000A2223" w:rsidP="00481531">
            <w:pPr>
              <w:rPr>
                <w:sz w:val="20"/>
                <w:szCs w:val="20"/>
              </w:rPr>
            </w:pPr>
            <w:r w:rsidRPr="00096E70">
              <w:rPr>
                <w:sz w:val="20"/>
                <w:szCs w:val="20"/>
              </w:rPr>
              <w:t>Provision of Vehicle repair and maintenance services</w:t>
            </w:r>
          </w:p>
        </w:tc>
      </w:tr>
      <w:tr w:rsidR="00FD2D6C" w:rsidRPr="00096E70" w:rsidTr="006C44D0">
        <w:tc>
          <w:tcPr>
            <w:tcW w:w="806" w:type="dxa"/>
          </w:tcPr>
          <w:p w:rsidR="00FD2D6C" w:rsidRPr="00096E70" w:rsidRDefault="000A2223" w:rsidP="00481531">
            <w:pPr>
              <w:rPr>
                <w:sz w:val="20"/>
                <w:szCs w:val="20"/>
              </w:rPr>
            </w:pPr>
            <w:r w:rsidRPr="00096E70">
              <w:rPr>
                <w:sz w:val="20"/>
                <w:szCs w:val="20"/>
              </w:rPr>
              <w:t>07</w:t>
            </w:r>
          </w:p>
        </w:tc>
        <w:tc>
          <w:tcPr>
            <w:tcW w:w="8210" w:type="dxa"/>
          </w:tcPr>
          <w:p w:rsidR="00FD2D6C" w:rsidRPr="00096E70" w:rsidRDefault="000A2223" w:rsidP="00481531">
            <w:pPr>
              <w:rPr>
                <w:sz w:val="20"/>
                <w:szCs w:val="20"/>
              </w:rPr>
            </w:pPr>
            <w:r w:rsidRPr="00096E70">
              <w:rPr>
                <w:sz w:val="20"/>
                <w:szCs w:val="20"/>
              </w:rPr>
              <w:t>Supply, Installation &amp; maintenance of fire extinguisher equipment</w:t>
            </w:r>
          </w:p>
        </w:tc>
      </w:tr>
      <w:tr w:rsidR="000A2223" w:rsidRPr="00096E70" w:rsidTr="006C44D0">
        <w:tc>
          <w:tcPr>
            <w:tcW w:w="806" w:type="dxa"/>
          </w:tcPr>
          <w:p w:rsidR="000A2223" w:rsidRPr="00096E70" w:rsidRDefault="000A2223" w:rsidP="00481531">
            <w:pPr>
              <w:rPr>
                <w:sz w:val="20"/>
                <w:szCs w:val="20"/>
              </w:rPr>
            </w:pPr>
            <w:r w:rsidRPr="00096E70">
              <w:rPr>
                <w:sz w:val="20"/>
                <w:szCs w:val="20"/>
              </w:rPr>
              <w:t>08</w:t>
            </w:r>
          </w:p>
        </w:tc>
        <w:tc>
          <w:tcPr>
            <w:tcW w:w="8210" w:type="dxa"/>
          </w:tcPr>
          <w:p w:rsidR="000A2223" w:rsidRPr="00096E70" w:rsidRDefault="004150C4" w:rsidP="00481531">
            <w:pPr>
              <w:rPr>
                <w:sz w:val="20"/>
                <w:szCs w:val="20"/>
              </w:rPr>
            </w:pPr>
            <w:r w:rsidRPr="00096E70">
              <w:rPr>
                <w:sz w:val="20"/>
                <w:szCs w:val="20"/>
              </w:rPr>
              <w:t>Supply of fuel (Diesel and Petrol)</w:t>
            </w:r>
          </w:p>
        </w:tc>
      </w:tr>
      <w:tr w:rsidR="000A2223" w:rsidRPr="00096E70" w:rsidTr="006C44D0">
        <w:tc>
          <w:tcPr>
            <w:tcW w:w="806" w:type="dxa"/>
          </w:tcPr>
          <w:p w:rsidR="000A2223" w:rsidRPr="00096E70" w:rsidRDefault="004150C4" w:rsidP="00481531">
            <w:pPr>
              <w:rPr>
                <w:sz w:val="20"/>
                <w:szCs w:val="20"/>
              </w:rPr>
            </w:pPr>
            <w:r w:rsidRPr="00096E70">
              <w:rPr>
                <w:sz w:val="20"/>
                <w:szCs w:val="20"/>
              </w:rPr>
              <w:t>09</w:t>
            </w:r>
          </w:p>
        </w:tc>
        <w:tc>
          <w:tcPr>
            <w:tcW w:w="8210" w:type="dxa"/>
          </w:tcPr>
          <w:p w:rsidR="000A2223" w:rsidRPr="00096E70" w:rsidRDefault="004150C4" w:rsidP="00481531">
            <w:pPr>
              <w:rPr>
                <w:sz w:val="20"/>
                <w:szCs w:val="20"/>
              </w:rPr>
            </w:pPr>
            <w:r w:rsidRPr="00096E70">
              <w:rPr>
                <w:sz w:val="20"/>
                <w:szCs w:val="20"/>
              </w:rPr>
              <w:t>Provision of Vehicle Tracking and fuel monitoring system</w:t>
            </w:r>
          </w:p>
        </w:tc>
      </w:tr>
      <w:tr w:rsidR="000A2223" w:rsidRPr="00096E70" w:rsidTr="006C44D0">
        <w:tc>
          <w:tcPr>
            <w:tcW w:w="806" w:type="dxa"/>
          </w:tcPr>
          <w:p w:rsidR="000A2223" w:rsidRPr="00096E70" w:rsidRDefault="004150C4" w:rsidP="00481531">
            <w:pPr>
              <w:rPr>
                <w:sz w:val="20"/>
                <w:szCs w:val="20"/>
              </w:rPr>
            </w:pPr>
            <w:r w:rsidRPr="00096E70">
              <w:rPr>
                <w:sz w:val="20"/>
                <w:szCs w:val="20"/>
              </w:rPr>
              <w:t>10</w:t>
            </w:r>
          </w:p>
        </w:tc>
        <w:tc>
          <w:tcPr>
            <w:tcW w:w="8210" w:type="dxa"/>
          </w:tcPr>
          <w:p w:rsidR="000A2223" w:rsidRPr="00096E70" w:rsidRDefault="004150C4" w:rsidP="00481531">
            <w:pPr>
              <w:rPr>
                <w:sz w:val="20"/>
                <w:szCs w:val="20"/>
              </w:rPr>
            </w:pPr>
            <w:r w:rsidRPr="00096E70">
              <w:rPr>
                <w:sz w:val="20"/>
                <w:szCs w:val="20"/>
              </w:rPr>
              <w:t>Provision of Sewage disposal services</w:t>
            </w:r>
          </w:p>
        </w:tc>
      </w:tr>
      <w:tr w:rsidR="000A2223" w:rsidRPr="00096E70" w:rsidTr="006C44D0">
        <w:tc>
          <w:tcPr>
            <w:tcW w:w="806" w:type="dxa"/>
          </w:tcPr>
          <w:p w:rsidR="000A2223" w:rsidRPr="00096E70" w:rsidRDefault="004150C4" w:rsidP="00481531">
            <w:pPr>
              <w:rPr>
                <w:sz w:val="20"/>
                <w:szCs w:val="20"/>
              </w:rPr>
            </w:pPr>
            <w:r w:rsidRPr="00096E70">
              <w:rPr>
                <w:sz w:val="20"/>
                <w:szCs w:val="20"/>
              </w:rPr>
              <w:t>11</w:t>
            </w:r>
          </w:p>
        </w:tc>
        <w:tc>
          <w:tcPr>
            <w:tcW w:w="8210" w:type="dxa"/>
          </w:tcPr>
          <w:p w:rsidR="000A2223" w:rsidRPr="00096E70" w:rsidRDefault="004150C4" w:rsidP="00481531">
            <w:pPr>
              <w:rPr>
                <w:sz w:val="20"/>
                <w:szCs w:val="20"/>
              </w:rPr>
            </w:pPr>
            <w:r w:rsidRPr="00096E70">
              <w:rPr>
                <w:sz w:val="20"/>
                <w:szCs w:val="20"/>
              </w:rPr>
              <w:t>Provision of Internet services</w:t>
            </w:r>
          </w:p>
        </w:tc>
      </w:tr>
      <w:tr w:rsidR="000A2223" w:rsidRPr="00096E70" w:rsidTr="006C44D0">
        <w:tc>
          <w:tcPr>
            <w:tcW w:w="806" w:type="dxa"/>
          </w:tcPr>
          <w:p w:rsidR="006C44D0" w:rsidRPr="00096E70" w:rsidRDefault="006C44D0" w:rsidP="00481531">
            <w:pPr>
              <w:rPr>
                <w:sz w:val="20"/>
                <w:szCs w:val="20"/>
              </w:rPr>
            </w:pPr>
            <w:r>
              <w:rPr>
                <w:sz w:val="20"/>
                <w:szCs w:val="20"/>
              </w:rPr>
              <w:t>12</w:t>
            </w:r>
          </w:p>
        </w:tc>
        <w:tc>
          <w:tcPr>
            <w:tcW w:w="8210" w:type="dxa"/>
          </w:tcPr>
          <w:p w:rsidR="000A2223" w:rsidRPr="00096E70" w:rsidRDefault="004150C4" w:rsidP="00481531">
            <w:pPr>
              <w:rPr>
                <w:sz w:val="20"/>
                <w:szCs w:val="20"/>
              </w:rPr>
            </w:pPr>
            <w:r w:rsidRPr="00096E70">
              <w:rPr>
                <w:sz w:val="20"/>
                <w:szCs w:val="20"/>
              </w:rPr>
              <w:t>Provision of catering services</w:t>
            </w:r>
          </w:p>
        </w:tc>
      </w:tr>
      <w:tr w:rsidR="000A2223" w:rsidRPr="00096E70" w:rsidTr="006C44D0">
        <w:tc>
          <w:tcPr>
            <w:tcW w:w="806" w:type="dxa"/>
          </w:tcPr>
          <w:p w:rsidR="000A2223" w:rsidRPr="00096E70" w:rsidRDefault="006C44D0" w:rsidP="00481531">
            <w:pPr>
              <w:rPr>
                <w:sz w:val="20"/>
                <w:szCs w:val="20"/>
              </w:rPr>
            </w:pPr>
            <w:r>
              <w:rPr>
                <w:sz w:val="20"/>
                <w:szCs w:val="20"/>
              </w:rPr>
              <w:t>13</w:t>
            </w:r>
          </w:p>
        </w:tc>
        <w:tc>
          <w:tcPr>
            <w:tcW w:w="8210" w:type="dxa"/>
          </w:tcPr>
          <w:p w:rsidR="000A2223" w:rsidRPr="00096E70" w:rsidRDefault="00A73861" w:rsidP="00481531">
            <w:pPr>
              <w:rPr>
                <w:sz w:val="20"/>
                <w:szCs w:val="20"/>
              </w:rPr>
            </w:pPr>
            <w:r w:rsidRPr="00096E70">
              <w:rPr>
                <w:sz w:val="20"/>
                <w:szCs w:val="20"/>
              </w:rPr>
              <w:t>Supply of Stationery</w:t>
            </w:r>
          </w:p>
        </w:tc>
      </w:tr>
      <w:tr w:rsidR="000A2223" w:rsidRPr="00096E70" w:rsidTr="006C44D0">
        <w:tc>
          <w:tcPr>
            <w:tcW w:w="806" w:type="dxa"/>
          </w:tcPr>
          <w:p w:rsidR="000A2223" w:rsidRPr="00096E70" w:rsidRDefault="006C44D0" w:rsidP="00481531">
            <w:pPr>
              <w:rPr>
                <w:sz w:val="20"/>
                <w:szCs w:val="20"/>
              </w:rPr>
            </w:pPr>
            <w:r>
              <w:rPr>
                <w:sz w:val="20"/>
                <w:szCs w:val="20"/>
              </w:rPr>
              <w:t>14</w:t>
            </w:r>
          </w:p>
        </w:tc>
        <w:tc>
          <w:tcPr>
            <w:tcW w:w="8210" w:type="dxa"/>
          </w:tcPr>
          <w:p w:rsidR="000A2223" w:rsidRPr="00096E70" w:rsidRDefault="00A73861" w:rsidP="00481531">
            <w:pPr>
              <w:rPr>
                <w:sz w:val="20"/>
                <w:szCs w:val="20"/>
              </w:rPr>
            </w:pPr>
            <w:r w:rsidRPr="00096E70">
              <w:rPr>
                <w:sz w:val="20"/>
                <w:szCs w:val="20"/>
              </w:rPr>
              <w:t>Supply of Tea and Breakfast Items</w:t>
            </w:r>
          </w:p>
        </w:tc>
      </w:tr>
      <w:tr w:rsidR="009908C7" w:rsidRPr="00096E70" w:rsidTr="006C44D0">
        <w:tc>
          <w:tcPr>
            <w:tcW w:w="806" w:type="dxa"/>
          </w:tcPr>
          <w:p w:rsidR="009908C7" w:rsidRDefault="009908C7" w:rsidP="00481531">
            <w:pPr>
              <w:rPr>
                <w:sz w:val="20"/>
                <w:szCs w:val="20"/>
              </w:rPr>
            </w:pPr>
            <w:r>
              <w:rPr>
                <w:sz w:val="20"/>
                <w:szCs w:val="20"/>
              </w:rPr>
              <w:t>15</w:t>
            </w:r>
          </w:p>
        </w:tc>
        <w:tc>
          <w:tcPr>
            <w:tcW w:w="8210" w:type="dxa"/>
          </w:tcPr>
          <w:p w:rsidR="009908C7" w:rsidRPr="00096E70" w:rsidRDefault="009908C7" w:rsidP="00481531">
            <w:pPr>
              <w:rPr>
                <w:sz w:val="20"/>
                <w:szCs w:val="20"/>
              </w:rPr>
            </w:pPr>
            <w:r>
              <w:rPr>
                <w:sz w:val="20"/>
                <w:szCs w:val="20"/>
              </w:rPr>
              <w:t>Provision of Vehicles Insurance</w:t>
            </w:r>
          </w:p>
        </w:tc>
      </w:tr>
    </w:tbl>
    <w:p w:rsidR="00A73861" w:rsidRPr="00096E70" w:rsidRDefault="00A73861" w:rsidP="00481531">
      <w:pPr>
        <w:rPr>
          <w:sz w:val="20"/>
          <w:szCs w:val="20"/>
        </w:rPr>
      </w:pPr>
    </w:p>
    <w:p w:rsidR="00FD2D6C" w:rsidRPr="00096E70" w:rsidRDefault="00A73861" w:rsidP="00A73861">
      <w:pPr>
        <w:rPr>
          <w:b/>
          <w:sz w:val="20"/>
          <w:szCs w:val="20"/>
        </w:rPr>
      </w:pPr>
      <w:r w:rsidRPr="00096E70">
        <w:rPr>
          <w:sz w:val="20"/>
          <w:szCs w:val="20"/>
        </w:rPr>
        <w:t>Suppliers that wish to participate in the process are required to provide the following document information</w:t>
      </w:r>
      <w:r w:rsidRPr="00096E70">
        <w:rPr>
          <w:b/>
          <w:sz w:val="20"/>
          <w:szCs w:val="20"/>
        </w:rPr>
        <w:t>:</w:t>
      </w:r>
    </w:p>
    <w:p w:rsidR="00A73861" w:rsidRPr="00096E70" w:rsidRDefault="00A73861" w:rsidP="00A73861">
      <w:pPr>
        <w:pStyle w:val="ListParagraph"/>
        <w:numPr>
          <w:ilvl w:val="0"/>
          <w:numId w:val="1"/>
        </w:numPr>
        <w:rPr>
          <w:sz w:val="20"/>
          <w:szCs w:val="20"/>
        </w:rPr>
      </w:pPr>
      <w:r w:rsidRPr="00096E70">
        <w:rPr>
          <w:b/>
          <w:sz w:val="20"/>
          <w:szCs w:val="20"/>
        </w:rPr>
        <w:t>Mandatory docu</w:t>
      </w:r>
      <w:r w:rsidR="00A43DC6" w:rsidRPr="00096E70">
        <w:rPr>
          <w:b/>
          <w:sz w:val="20"/>
          <w:szCs w:val="20"/>
        </w:rPr>
        <w:t>mentation and information</w:t>
      </w:r>
    </w:p>
    <w:p w:rsidR="00A43DC6" w:rsidRPr="00096E70" w:rsidRDefault="00A43DC6" w:rsidP="00A43DC6">
      <w:pPr>
        <w:pStyle w:val="ListParagraph"/>
        <w:numPr>
          <w:ilvl w:val="0"/>
          <w:numId w:val="3"/>
        </w:numPr>
        <w:rPr>
          <w:b/>
          <w:sz w:val="20"/>
          <w:szCs w:val="20"/>
        </w:rPr>
      </w:pPr>
      <w:r w:rsidRPr="00096E70">
        <w:rPr>
          <w:b/>
          <w:sz w:val="20"/>
          <w:szCs w:val="20"/>
        </w:rPr>
        <w:t>Business  certificate</w:t>
      </w:r>
    </w:p>
    <w:p w:rsidR="00A43DC6" w:rsidRPr="00096E70" w:rsidRDefault="00A43DC6" w:rsidP="00A43DC6">
      <w:pPr>
        <w:pStyle w:val="ListParagraph"/>
        <w:numPr>
          <w:ilvl w:val="0"/>
          <w:numId w:val="4"/>
        </w:numPr>
        <w:rPr>
          <w:sz w:val="20"/>
          <w:szCs w:val="20"/>
        </w:rPr>
      </w:pPr>
      <w:r w:rsidRPr="00096E70">
        <w:rPr>
          <w:sz w:val="20"/>
          <w:szCs w:val="20"/>
        </w:rPr>
        <w:t>Certificate of registration of business (in Country where company was registered)</w:t>
      </w:r>
    </w:p>
    <w:p w:rsidR="00A43DC6" w:rsidRPr="00096E70" w:rsidRDefault="00A43DC6" w:rsidP="00A43DC6">
      <w:pPr>
        <w:pStyle w:val="ListParagraph"/>
        <w:numPr>
          <w:ilvl w:val="0"/>
          <w:numId w:val="4"/>
        </w:numPr>
        <w:rPr>
          <w:sz w:val="20"/>
          <w:szCs w:val="20"/>
        </w:rPr>
      </w:pPr>
      <w:r w:rsidRPr="00096E70">
        <w:rPr>
          <w:sz w:val="20"/>
          <w:szCs w:val="20"/>
        </w:rPr>
        <w:t>Revenue Authority Tax Registration Certificate (Indicating TIN)</w:t>
      </w:r>
    </w:p>
    <w:p w:rsidR="00A43DC6" w:rsidRPr="00096E70" w:rsidRDefault="00A43DC6" w:rsidP="00A43DC6">
      <w:pPr>
        <w:pStyle w:val="ListParagraph"/>
        <w:numPr>
          <w:ilvl w:val="0"/>
          <w:numId w:val="4"/>
        </w:numPr>
        <w:rPr>
          <w:sz w:val="20"/>
          <w:szCs w:val="20"/>
        </w:rPr>
      </w:pPr>
      <w:r w:rsidRPr="00096E70">
        <w:rPr>
          <w:sz w:val="20"/>
          <w:szCs w:val="20"/>
        </w:rPr>
        <w:t xml:space="preserve">Valid Tax Clearance Certificate </w:t>
      </w:r>
    </w:p>
    <w:p w:rsidR="00A43DC6" w:rsidRPr="00096E70" w:rsidRDefault="00A43DC6" w:rsidP="00A43DC6">
      <w:pPr>
        <w:pStyle w:val="ListParagraph"/>
        <w:numPr>
          <w:ilvl w:val="0"/>
          <w:numId w:val="4"/>
        </w:numPr>
        <w:rPr>
          <w:sz w:val="20"/>
          <w:szCs w:val="20"/>
        </w:rPr>
      </w:pPr>
      <w:r w:rsidRPr="00096E70">
        <w:rPr>
          <w:sz w:val="20"/>
          <w:szCs w:val="20"/>
        </w:rPr>
        <w:t>Certificate of registration with South Sudanese Chamber of Commerce</w:t>
      </w:r>
    </w:p>
    <w:p w:rsidR="00A43DC6" w:rsidRPr="00096E70" w:rsidRDefault="00A43DC6" w:rsidP="00A43DC6">
      <w:pPr>
        <w:pStyle w:val="ListParagraph"/>
        <w:numPr>
          <w:ilvl w:val="0"/>
          <w:numId w:val="4"/>
        </w:numPr>
        <w:rPr>
          <w:sz w:val="20"/>
          <w:szCs w:val="20"/>
        </w:rPr>
      </w:pPr>
      <w:r w:rsidRPr="00096E70">
        <w:rPr>
          <w:sz w:val="20"/>
          <w:szCs w:val="20"/>
        </w:rPr>
        <w:t>Bank Account details</w:t>
      </w:r>
    </w:p>
    <w:p w:rsidR="00A43DC6" w:rsidRPr="00096E70" w:rsidRDefault="00A43DC6" w:rsidP="00A43DC6">
      <w:pPr>
        <w:pStyle w:val="ListParagraph"/>
        <w:numPr>
          <w:ilvl w:val="0"/>
          <w:numId w:val="4"/>
        </w:numPr>
        <w:rPr>
          <w:sz w:val="20"/>
          <w:szCs w:val="20"/>
        </w:rPr>
      </w:pPr>
      <w:r w:rsidRPr="00096E70">
        <w:rPr>
          <w:sz w:val="20"/>
          <w:szCs w:val="20"/>
        </w:rPr>
        <w:t>Official Business physical, postal, telephone and email addresses</w:t>
      </w:r>
    </w:p>
    <w:p w:rsidR="00A43DC6" w:rsidRPr="00096E70" w:rsidRDefault="00A43DC6" w:rsidP="00A43DC6">
      <w:pPr>
        <w:pStyle w:val="ListParagraph"/>
        <w:numPr>
          <w:ilvl w:val="0"/>
          <w:numId w:val="4"/>
        </w:numPr>
        <w:rPr>
          <w:sz w:val="20"/>
          <w:szCs w:val="20"/>
        </w:rPr>
      </w:pPr>
      <w:r w:rsidRPr="00096E70">
        <w:rPr>
          <w:sz w:val="20"/>
          <w:szCs w:val="20"/>
        </w:rPr>
        <w:t>Reference and recommendations from at leas</w:t>
      </w:r>
      <w:r w:rsidR="00F37119" w:rsidRPr="00096E70">
        <w:rPr>
          <w:sz w:val="20"/>
          <w:szCs w:val="20"/>
        </w:rPr>
        <w:t>t 2 present and 2 past clients</w:t>
      </w:r>
    </w:p>
    <w:p w:rsidR="00F37119" w:rsidRPr="00096E70" w:rsidRDefault="00F37119" w:rsidP="00F37119">
      <w:pPr>
        <w:pStyle w:val="ListParagraph"/>
        <w:rPr>
          <w:sz w:val="20"/>
          <w:szCs w:val="20"/>
        </w:rPr>
      </w:pPr>
    </w:p>
    <w:p w:rsidR="00F37119" w:rsidRPr="00096E70" w:rsidRDefault="00F37119" w:rsidP="00F37119">
      <w:pPr>
        <w:pStyle w:val="ListParagraph"/>
        <w:numPr>
          <w:ilvl w:val="0"/>
          <w:numId w:val="3"/>
        </w:numPr>
        <w:rPr>
          <w:b/>
          <w:sz w:val="20"/>
          <w:szCs w:val="20"/>
        </w:rPr>
      </w:pPr>
      <w:r w:rsidRPr="00096E70">
        <w:rPr>
          <w:b/>
          <w:sz w:val="20"/>
          <w:szCs w:val="20"/>
        </w:rPr>
        <w:t>Important Note to Vendors</w:t>
      </w:r>
    </w:p>
    <w:p w:rsidR="00F37119" w:rsidRPr="00096E70" w:rsidRDefault="00F37119" w:rsidP="00F37119">
      <w:pPr>
        <w:pStyle w:val="ListParagraph"/>
        <w:numPr>
          <w:ilvl w:val="0"/>
          <w:numId w:val="4"/>
        </w:numPr>
        <w:rPr>
          <w:sz w:val="20"/>
          <w:szCs w:val="20"/>
        </w:rPr>
      </w:pPr>
      <w:r w:rsidRPr="00096E70">
        <w:rPr>
          <w:sz w:val="20"/>
          <w:szCs w:val="20"/>
        </w:rPr>
        <w:t>Vendor will be rejected if they have not fulfilled obligations to payment  of taxes and social security for its staff</w:t>
      </w:r>
    </w:p>
    <w:p w:rsidR="00F37119" w:rsidRPr="00096E70" w:rsidRDefault="00F37119" w:rsidP="00F37119">
      <w:pPr>
        <w:pStyle w:val="ListParagraph"/>
        <w:numPr>
          <w:ilvl w:val="0"/>
          <w:numId w:val="4"/>
        </w:numPr>
        <w:rPr>
          <w:sz w:val="20"/>
          <w:szCs w:val="20"/>
        </w:rPr>
      </w:pPr>
      <w:r w:rsidRPr="00096E70">
        <w:rPr>
          <w:sz w:val="20"/>
          <w:szCs w:val="20"/>
        </w:rPr>
        <w:t>Vendor will be rejected if they provided incorrect information in this form</w:t>
      </w:r>
    </w:p>
    <w:p w:rsidR="00F37119" w:rsidRPr="00096E70" w:rsidRDefault="00F37119" w:rsidP="00F37119">
      <w:pPr>
        <w:pStyle w:val="ListParagraph"/>
        <w:numPr>
          <w:ilvl w:val="0"/>
          <w:numId w:val="4"/>
        </w:numPr>
        <w:rPr>
          <w:sz w:val="20"/>
          <w:szCs w:val="20"/>
        </w:rPr>
      </w:pPr>
      <w:r w:rsidRPr="00096E70">
        <w:rPr>
          <w:sz w:val="20"/>
          <w:szCs w:val="20"/>
        </w:rPr>
        <w:t>Vendor will be rejected if it is included in the list of sanction by the US Government, UN and EU</w:t>
      </w:r>
    </w:p>
    <w:p w:rsidR="00F37119" w:rsidRPr="00096E70" w:rsidRDefault="00F37119" w:rsidP="00F37119">
      <w:pPr>
        <w:pStyle w:val="ListParagraph"/>
        <w:numPr>
          <w:ilvl w:val="0"/>
          <w:numId w:val="4"/>
        </w:numPr>
        <w:rPr>
          <w:sz w:val="20"/>
          <w:szCs w:val="20"/>
        </w:rPr>
      </w:pPr>
      <w:r w:rsidRPr="00096E70">
        <w:rPr>
          <w:sz w:val="20"/>
          <w:szCs w:val="20"/>
        </w:rPr>
        <w:t xml:space="preserve">Vendor will be rejected if have been involved in illegal/corrupt activities </w:t>
      </w:r>
      <w:r w:rsidR="001B1581" w:rsidRPr="00096E70">
        <w:rPr>
          <w:sz w:val="20"/>
          <w:szCs w:val="20"/>
        </w:rPr>
        <w:t>or</w:t>
      </w:r>
      <w:r w:rsidRPr="00096E70">
        <w:rPr>
          <w:sz w:val="20"/>
          <w:szCs w:val="20"/>
        </w:rPr>
        <w:t xml:space="preserve"> unprofessional conduct of business.</w:t>
      </w:r>
    </w:p>
    <w:p w:rsidR="00F37119" w:rsidRPr="00096E70" w:rsidRDefault="00F37119" w:rsidP="00F37119">
      <w:pPr>
        <w:pStyle w:val="ListParagraph"/>
        <w:numPr>
          <w:ilvl w:val="0"/>
          <w:numId w:val="4"/>
        </w:numPr>
        <w:rPr>
          <w:sz w:val="20"/>
          <w:szCs w:val="20"/>
        </w:rPr>
      </w:pPr>
      <w:r w:rsidRPr="00096E70">
        <w:rPr>
          <w:sz w:val="20"/>
          <w:szCs w:val="20"/>
        </w:rPr>
        <w:t>It is Eye Media’s policy to comply with the laws</w:t>
      </w:r>
      <w:r w:rsidR="001B1581" w:rsidRPr="00096E70">
        <w:rPr>
          <w:sz w:val="20"/>
          <w:szCs w:val="20"/>
        </w:rPr>
        <w:t xml:space="preserve"> and regulations of the United States Government, the European Union and United Nations concerning the ineligibility of vendors, contractors and Suppliers of services for reasons of fraud, corruption or terrorist activity. These laws and regulations prohibit Eye Media from doing business with or providing support to any persons or entities that have been found to be engaged in or provide support for any such activities. The Supplier agrees to abide by this policy.</w:t>
      </w:r>
    </w:p>
    <w:p w:rsidR="001B1581" w:rsidRPr="00096E70" w:rsidRDefault="003E65A2" w:rsidP="001B1581">
      <w:pPr>
        <w:pStyle w:val="ListParagraph"/>
        <w:numPr>
          <w:ilvl w:val="0"/>
          <w:numId w:val="1"/>
        </w:numPr>
        <w:rPr>
          <w:b/>
          <w:sz w:val="20"/>
          <w:szCs w:val="20"/>
        </w:rPr>
      </w:pPr>
      <w:r w:rsidRPr="00096E70">
        <w:rPr>
          <w:b/>
          <w:sz w:val="20"/>
          <w:szCs w:val="20"/>
        </w:rPr>
        <w:t>Submission of applications:</w:t>
      </w:r>
    </w:p>
    <w:p w:rsidR="003E65A2" w:rsidRPr="00096E70" w:rsidRDefault="003E65A2" w:rsidP="003E65A2">
      <w:pPr>
        <w:pStyle w:val="ListParagraph"/>
        <w:numPr>
          <w:ilvl w:val="0"/>
          <w:numId w:val="5"/>
        </w:numPr>
        <w:rPr>
          <w:sz w:val="20"/>
          <w:szCs w:val="20"/>
        </w:rPr>
      </w:pPr>
      <w:r w:rsidRPr="00096E70">
        <w:rPr>
          <w:b/>
          <w:sz w:val="20"/>
          <w:szCs w:val="20"/>
        </w:rPr>
        <w:t>Hard copy submission</w:t>
      </w:r>
      <w:r w:rsidRPr="00096E70">
        <w:rPr>
          <w:sz w:val="20"/>
          <w:szCs w:val="20"/>
        </w:rPr>
        <w:t>:</w:t>
      </w:r>
    </w:p>
    <w:p w:rsidR="003E65A2" w:rsidRPr="00096E70" w:rsidRDefault="003E65A2" w:rsidP="003E65A2">
      <w:pPr>
        <w:pStyle w:val="ListParagraph"/>
        <w:rPr>
          <w:sz w:val="20"/>
          <w:szCs w:val="20"/>
        </w:rPr>
      </w:pPr>
      <w:r w:rsidRPr="00096E70">
        <w:rPr>
          <w:sz w:val="20"/>
          <w:szCs w:val="20"/>
        </w:rPr>
        <w:t xml:space="preserve">Hard Copy Submissions MUST be contained in a Single large Envelope clearly labelled </w:t>
      </w:r>
    </w:p>
    <w:p w:rsidR="003E65A2" w:rsidRPr="00096E70" w:rsidRDefault="003E65A2" w:rsidP="003E65A2">
      <w:pPr>
        <w:pStyle w:val="ListParagraph"/>
        <w:rPr>
          <w:sz w:val="20"/>
          <w:szCs w:val="20"/>
        </w:rPr>
      </w:pPr>
      <w:r w:rsidRPr="00096E70">
        <w:rPr>
          <w:sz w:val="20"/>
          <w:szCs w:val="20"/>
        </w:rPr>
        <w:t xml:space="preserve">‘’application for pre-qualification as a Supplier/Service provider (whichever is applicable) and MUST </w:t>
      </w:r>
      <w:r w:rsidRPr="00096E70">
        <w:rPr>
          <w:b/>
          <w:sz w:val="20"/>
          <w:szCs w:val="20"/>
        </w:rPr>
        <w:t>indicate the</w:t>
      </w:r>
      <w:r w:rsidRPr="00096E70">
        <w:rPr>
          <w:sz w:val="20"/>
          <w:szCs w:val="20"/>
        </w:rPr>
        <w:t xml:space="preserve"> </w:t>
      </w:r>
      <w:r w:rsidRPr="00096E70">
        <w:rPr>
          <w:b/>
          <w:sz w:val="20"/>
          <w:szCs w:val="20"/>
        </w:rPr>
        <w:t>Category for which you are applying</w:t>
      </w:r>
      <w:r w:rsidRPr="00096E70">
        <w:rPr>
          <w:sz w:val="20"/>
          <w:szCs w:val="20"/>
        </w:rPr>
        <w:t xml:space="preserve">. This should be delivered to:-  </w:t>
      </w:r>
    </w:p>
    <w:p w:rsidR="003E65A2" w:rsidRPr="00096E70" w:rsidRDefault="003E65A2" w:rsidP="003E65A2">
      <w:pPr>
        <w:pStyle w:val="ListParagraph"/>
        <w:rPr>
          <w:b/>
          <w:sz w:val="24"/>
          <w:szCs w:val="24"/>
        </w:rPr>
      </w:pPr>
      <w:r w:rsidRPr="00096E70">
        <w:rPr>
          <w:b/>
          <w:sz w:val="24"/>
          <w:szCs w:val="24"/>
        </w:rPr>
        <w:t xml:space="preserve">          Eye Media </w:t>
      </w:r>
    </w:p>
    <w:p w:rsidR="003E65A2" w:rsidRPr="00096E70" w:rsidRDefault="003E65A2" w:rsidP="003E65A2">
      <w:pPr>
        <w:pStyle w:val="ListParagraph"/>
        <w:rPr>
          <w:b/>
          <w:sz w:val="24"/>
          <w:szCs w:val="24"/>
        </w:rPr>
      </w:pPr>
      <w:r w:rsidRPr="00096E70">
        <w:rPr>
          <w:b/>
          <w:sz w:val="24"/>
          <w:szCs w:val="24"/>
        </w:rPr>
        <w:t xml:space="preserve">          P.O BOX 425, PLOT 48, BLOCK 1, Korok</w:t>
      </w:r>
    </w:p>
    <w:p w:rsidR="003E65A2" w:rsidRPr="00096E70" w:rsidRDefault="003E65A2" w:rsidP="003E65A2">
      <w:pPr>
        <w:pStyle w:val="ListParagraph"/>
        <w:rPr>
          <w:b/>
          <w:sz w:val="24"/>
          <w:szCs w:val="24"/>
        </w:rPr>
      </w:pPr>
      <w:r w:rsidRPr="00096E70">
        <w:rPr>
          <w:b/>
          <w:sz w:val="24"/>
          <w:szCs w:val="24"/>
        </w:rPr>
        <w:t xml:space="preserve">         </w:t>
      </w:r>
      <w:proofErr w:type="spellStart"/>
      <w:r w:rsidRPr="00096E70">
        <w:rPr>
          <w:b/>
          <w:sz w:val="24"/>
          <w:szCs w:val="24"/>
        </w:rPr>
        <w:t>Opp</w:t>
      </w:r>
      <w:proofErr w:type="spellEnd"/>
      <w:r w:rsidRPr="00096E70">
        <w:rPr>
          <w:b/>
          <w:sz w:val="24"/>
          <w:szCs w:val="24"/>
        </w:rPr>
        <w:t>: SSBL,</w:t>
      </w:r>
    </w:p>
    <w:p w:rsidR="003E65A2" w:rsidRPr="00096E70" w:rsidRDefault="003E65A2" w:rsidP="003E65A2">
      <w:pPr>
        <w:pStyle w:val="ListParagraph"/>
        <w:rPr>
          <w:b/>
          <w:sz w:val="24"/>
          <w:szCs w:val="24"/>
        </w:rPr>
      </w:pPr>
      <w:r w:rsidRPr="00096E70">
        <w:rPr>
          <w:b/>
          <w:sz w:val="24"/>
          <w:szCs w:val="24"/>
        </w:rPr>
        <w:t xml:space="preserve">         Juba South Sudan</w:t>
      </w:r>
    </w:p>
    <w:p w:rsidR="003E65A2" w:rsidRPr="00096E70" w:rsidRDefault="003E65A2" w:rsidP="003E65A2">
      <w:pPr>
        <w:pStyle w:val="ListParagraph"/>
        <w:numPr>
          <w:ilvl w:val="0"/>
          <w:numId w:val="5"/>
        </w:numPr>
        <w:rPr>
          <w:b/>
          <w:sz w:val="20"/>
          <w:szCs w:val="20"/>
        </w:rPr>
      </w:pPr>
      <w:r w:rsidRPr="00096E70">
        <w:rPr>
          <w:b/>
          <w:sz w:val="20"/>
          <w:szCs w:val="20"/>
        </w:rPr>
        <w:t>Soft Copy submissions:</w:t>
      </w:r>
    </w:p>
    <w:p w:rsidR="003E65A2" w:rsidRPr="00096E70" w:rsidRDefault="006560BA" w:rsidP="003E65A2">
      <w:pPr>
        <w:pStyle w:val="ListParagraph"/>
        <w:rPr>
          <w:sz w:val="20"/>
          <w:szCs w:val="20"/>
        </w:rPr>
      </w:pPr>
      <w:r w:rsidRPr="00096E70">
        <w:rPr>
          <w:sz w:val="20"/>
          <w:szCs w:val="20"/>
        </w:rPr>
        <w:t xml:space="preserve">All soft copies should be submitted to: </w:t>
      </w:r>
      <w:hyperlink r:id="rId9" w:history="1">
        <w:r w:rsidRPr="00096E70">
          <w:rPr>
            <w:rStyle w:val="Hyperlink"/>
            <w:sz w:val="20"/>
            <w:szCs w:val="20"/>
          </w:rPr>
          <w:t>David.Ayik@eyeradio.org</w:t>
        </w:r>
      </w:hyperlink>
      <w:bookmarkStart w:id="0" w:name="_GoBack"/>
      <w:bookmarkEnd w:id="0"/>
    </w:p>
    <w:p w:rsidR="006560BA" w:rsidRPr="00096E70" w:rsidRDefault="006560BA" w:rsidP="003E65A2">
      <w:pPr>
        <w:pStyle w:val="ListParagraph"/>
        <w:rPr>
          <w:sz w:val="20"/>
          <w:szCs w:val="20"/>
        </w:rPr>
      </w:pPr>
    </w:p>
    <w:p w:rsidR="006560BA" w:rsidRPr="00096E70" w:rsidRDefault="006560BA" w:rsidP="003E65A2">
      <w:pPr>
        <w:pStyle w:val="ListParagraph"/>
        <w:rPr>
          <w:sz w:val="20"/>
          <w:szCs w:val="20"/>
        </w:rPr>
      </w:pPr>
      <w:r w:rsidRPr="00096E70">
        <w:rPr>
          <w:sz w:val="20"/>
          <w:szCs w:val="20"/>
        </w:rPr>
        <w:t>It is the responsibility of the applicant to ensure that the online submission is successfully delivered; Eye Media shall not accept any responsibility for the failure of the applicant’s email submission.</w:t>
      </w:r>
    </w:p>
    <w:p w:rsidR="006560BA" w:rsidRPr="00096E70" w:rsidRDefault="006560BA" w:rsidP="006560BA">
      <w:pPr>
        <w:pStyle w:val="ListParagraph"/>
        <w:numPr>
          <w:ilvl w:val="0"/>
          <w:numId w:val="1"/>
        </w:numPr>
        <w:rPr>
          <w:sz w:val="20"/>
          <w:szCs w:val="20"/>
        </w:rPr>
      </w:pPr>
      <w:r w:rsidRPr="00096E70">
        <w:rPr>
          <w:b/>
          <w:sz w:val="20"/>
          <w:szCs w:val="20"/>
        </w:rPr>
        <w:t>Deadline for request for clarification and submission of documentation</w:t>
      </w:r>
      <w:r w:rsidRPr="00096E70">
        <w:rPr>
          <w:sz w:val="20"/>
          <w:szCs w:val="20"/>
        </w:rPr>
        <w:t>:</w:t>
      </w:r>
    </w:p>
    <w:p w:rsidR="006560BA" w:rsidRPr="00096E70" w:rsidRDefault="006560BA" w:rsidP="006560BA">
      <w:pPr>
        <w:rPr>
          <w:sz w:val="20"/>
          <w:szCs w:val="20"/>
        </w:rPr>
      </w:pPr>
      <w:r w:rsidRPr="00096E70">
        <w:rPr>
          <w:sz w:val="20"/>
          <w:szCs w:val="20"/>
        </w:rPr>
        <w:t xml:space="preserve">Any requests for clarifications should be made in writing only and addressed to the Operations Officer at the following address:  </w:t>
      </w:r>
      <w:hyperlink r:id="rId10" w:history="1">
        <w:r w:rsidR="00B605C6" w:rsidRPr="00096E70">
          <w:rPr>
            <w:rStyle w:val="Hyperlink"/>
            <w:sz w:val="20"/>
            <w:szCs w:val="20"/>
          </w:rPr>
          <w:t>David.Ayik@eyeradio.org</w:t>
        </w:r>
      </w:hyperlink>
      <w:r w:rsidR="00B605C6" w:rsidRPr="00096E70">
        <w:rPr>
          <w:sz w:val="20"/>
          <w:szCs w:val="20"/>
        </w:rPr>
        <w:t xml:space="preserve"> and copied to: </w:t>
      </w:r>
      <w:hyperlink r:id="rId11" w:history="1">
        <w:r w:rsidR="00B605C6" w:rsidRPr="00096E70">
          <w:rPr>
            <w:rStyle w:val="Hyperlink"/>
            <w:sz w:val="20"/>
            <w:szCs w:val="20"/>
          </w:rPr>
          <w:t>aluong.mayom@eyeradio.org</w:t>
        </w:r>
      </w:hyperlink>
      <w:r w:rsidR="00B605C6" w:rsidRPr="00096E70">
        <w:rPr>
          <w:sz w:val="20"/>
          <w:szCs w:val="20"/>
        </w:rPr>
        <w:t xml:space="preserve"> </w:t>
      </w:r>
    </w:p>
    <w:p w:rsidR="00B605C6" w:rsidRPr="00096E70" w:rsidRDefault="00B605C6" w:rsidP="006560BA">
      <w:pPr>
        <w:rPr>
          <w:sz w:val="20"/>
          <w:szCs w:val="20"/>
        </w:rPr>
      </w:pPr>
      <w:r w:rsidRPr="00096E70">
        <w:rPr>
          <w:sz w:val="20"/>
          <w:szCs w:val="20"/>
        </w:rPr>
        <w:t>The closing date for submitting a complete pre-qualification application for is:</w:t>
      </w:r>
    </w:p>
    <w:p w:rsidR="00B605C6" w:rsidRPr="00096E70" w:rsidRDefault="00E06782" w:rsidP="006560BA">
      <w:pPr>
        <w:rPr>
          <w:b/>
          <w:sz w:val="20"/>
          <w:szCs w:val="20"/>
        </w:rPr>
      </w:pPr>
      <w:r>
        <w:rPr>
          <w:b/>
          <w:sz w:val="20"/>
          <w:szCs w:val="20"/>
        </w:rPr>
        <w:t>31</w:t>
      </w:r>
      <w:r w:rsidR="00B605C6" w:rsidRPr="00096E70">
        <w:rPr>
          <w:b/>
          <w:sz w:val="20"/>
          <w:szCs w:val="20"/>
          <w:vertAlign w:val="superscript"/>
        </w:rPr>
        <w:t>th</w:t>
      </w:r>
      <w:r>
        <w:rPr>
          <w:b/>
          <w:sz w:val="20"/>
          <w:szCs w:val="20"/>
        </w:rPr>
        <w:t xml:space="preserve"> March 2023</w:t>
      </w:r>
      <w:r w:rsidR="00B605C6" w:rsidRPr="00096E70">
        <w:rPr>
          <w:b/>
          <w:sz w:val="20"/>
          <w:szCs w:val="20"/>
        </w:rPr>
        <w:t>, 1600hrs</w:t>
      </w:r>
    </w:p>
    <w:p w:rsidR="00B605C6" w:rsidRPr="00096E70" w:rsidRDefault="00B605C6" w:rsidP="00B605C6">
      <w:pPr>
        <w:pStyle w:val="ListParagraph"/>
        <w:numPr>
          <w:ilvl w:val="0"/>
          <w:numId w:val="1"/>
        </w:numPr>
        <w:rPr>
          <w:b/>
          <w:sz w:val="20"/>
          <w:szCs w:val="20"/>
        </w:rPr>
      </w:pPr>
      <w:r w:rsidRPr="00096E70">
        <w:rPr>
          <w:b/>
          <w:sz w:val="20"/>
          <w:szCs w:val="20"/>
        </w:rPr>
        <w:t>Selection criteria:</w:t>
      </w:r>
    </w:p>
    <w:p w:rsidR="00B605C6" w:rsidRPr="00096E70" w:rsidRDefault="00B605C6" w:rsidP="00B605C6">
      <w:pPr>
        <w:rPr>
          <w:sz w:val="20"/>
          <w:szCs w:val="20"/>
        </w:rPr>
      </w:pPr>
      <w:r w:rsidRPr="00096E70">
        <w:rPr>
          <w:sz w:val="20"/>
          <w:szCs w:val="20"/>
        </w:rPr>
        <w:t xml:space="preserve">ONLY companies that fully and satisfactorily meet the requirements listed in 2 above (mandatory information and documentation) and any other criteria which the procurement Review Committee shall deem necessary </w:t>
      </w:r>
      <w:r w:rsidR="00D96AAE" w:rsidRPr="00096E70">
        <w:rPr>
          <w:sz w:val="20"/>
          <w:szCs w:val="20"/>
        </w:rPr>
        <w:t>for this purpose, shall</w:t>
      </w:r>
      <w:r w:rsidRPr="00096E70">
        <w:rPr>
          <w:sz w:val="20"/>
          <w:szCs w:val="20"/>
        </w:rPr>
        <w:t xml:space="preserve"> pr</w:t>
      </w:r>
      <w:r w:rsidR="00D96AAE" w:rsidRPr="00096E70">
        <w:rPr>
          <w:sz w:val="20"/>
          <w:szCs w:val="20"/>
        </w:rPr>
        <w:t>e</w:t>
      </w:r>
      <w:r w:rsidRPr="00096E70">
        <w:rPr>
          <w:sz w:val="20"/>
          <w:szCs w:val="20"/>
        </w:rPr>
        <w:t>-quali</w:t>
      </w:r>
      <w:r w:rsidR="00D96AAE" w:rsidRPr="00096E70">
        <w:rPr>
          <w:sz w:val="20"/>
          <w:szCs w:val="20"/>
        </w:rPr>
        <w:t>fied and shall be invited to participate in the subsequent bidding process.</w:t>
      </w:r>
    </w:p>
    <w:p w:rsidR="00D96AAE" w:rsidRPr="00096E70" w:rsidRDefault="00D96AAE" w:rsidP="00D96AAE">
      <w:pPr>
        <w:pStyle w:val="ListParagraph"/>
        <w:numPr>
          <w:ilvl w:val="0"/>
          <w:numId w:val="1"/>
        </w:numPr>
        <w:rPr>
          <w:sz w:val="20"/>
          <w:szCs w:val="20"/>
        </w:rPr>
      </w:pPr>
      <w:r w:rsidRPr="00096E70">
        <w:rPr>
          <w:b/>
          <w:sz w:val="20"/>
          <w:szCs w:val="20"/>
        </w:rPr>
        <w:t>Feedback to successful/unsuccessful applicants</w:t>
      </w:r>
      <w:r w:rsidRPr="00096E70">
        <w:rPr>
          <w:sz w:val="20"/>
          <w:szCs w:val="20"/>
        </w:rPr>
        <w:t>:</w:t>
      </w:r>
    </w:p>
    <w:p w:rsidR="00F37119" w:rsidRPr="00F3400D" w:rsidRDefault="00D96AAE" w:rsidP="00F3400D">
      <w:pPr>
        <w:rPr>
          <w:sz w:val="20"/>
          <w:szCs w:val="20"/>
        </w:rPr>
      </w:pPr>
      <w:r w:rsidRPr="00096E70">
        <w:rPr>
          <w:sz w:val="20"/>
          <w:szCs w:val="20"/>
        </w:rPr>
        <w:t>In case you submit an application form for prequalification but don’t hear from us after 2 weeks of the closing date, please consider your unsuccessful; no separate or individual communication to this effect shall made by Eye Media.</w:t>
      </w:r>
    </w:p>
    <w:p w:rsidR="00A43DC6" w:rsidRPr="00D96AAE" w:rsidRDefault="00A43DC6" w:rsidP="00A43DC6">
      <w:pPr>
        <w:ind w:left="360"/>
        <w:rPr>
          <w:sz w:val="18"/>
          <w:szCs w:val="18"/>
        </w:rPr>
      </w:pPr>
    </w:p>
    <w:sectPr w:rsidR="00A43DC6" w:rsidRPr="00D96A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053" w:rsidRDefault="004B2053" w:rsidP="00A30618">
      <w:pPr>
        <w:spacing w:after="0" w:line="240" w:lineRule="auto"/>
      </w:pPr>
      <w:r>
        <w:separator/>
      </w:r>
    </w:p>
  </w:endnote>
  <w:endnote w:type="continuationSeparator" w:id="0">
    <w:p w:rsidR="004B2053" w:rsidRDefault="004B2053" w:rsidP="00A3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18" w:rsidRPr="00F3400D" w:rsidRDefault="00A30618">
    <w:pPr>
      <w:pStyle w:val="Footer"/>
      <w:rPr>
        <w:sz w:val="18"/>
        <w:szCs w:val="18"/>
      </w:rPr>
    </w:pPr>
    <w:r>
      <w:rPr>
        <w:noProof/>
        <w:color w:val="4F81BD" w:themeColor="accent1"/>
        <w:lang w:eastAsia="en-GB"/>
      </w:rPr>
      <mc:AlternateContent>
        <mc:Choice Requires="wps">
          <w:drawing>
            <wp:anchor distT="0" distB="0" distL="114300" distR="114300" simplePos="0" relativeHeight="25170892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AC048C" id="Rectangle 452" o:spid="_x0000_s1026" style="position:absolute;margin-left:0;margin-top:0;width:579.9pt;height:750.3pt;z-index:2517089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sidRPr="00F3400D">
      <w:rPr>
        <w:rFonts w:eastAsiaTheme="minorEastAsia"/>
        <w:color w:val="4F81BD" w:themeColor="accent1"/>
        <w:sz w:val="18"/>
        <w:szCs w:val="18"/>
      </w:rPr>
      <w:fldChar w:fldCharType="begin"/>
    </w:r>
    <w:r w:rsidRPr="00F3400D">
      <w:rPr>
        <w:color w:val="4F81BD" w:themeColor="accent1"/>
        <w:sz w:val="18"/>
        <w:szCs w:val="18"/>
      </w:rPr>
      <w:instrText xml:space="preserve"> PAGE    \* MERGEFORMAT </w:instrText>
    </w:r>
    <w:r w:rsidRPr="00F3400D">
      <w:rPr>
        <w:rFonts w:eastAsiaTheme="minorEastAsia"/>
        <w:color w:val="4F81BD" w:themeColor="accent1"/>
        <w:sz w:val="18"/>
        <w:szCs w:val="18"/>
      </w:rPr>
      <w:fldChar w:fldCharType="separate"/>
    </w:r>
    <w:r w:rsidR="00F3400D" w:rsidRPr="00F3400D">
      <w:rPr>
        <w:rFonts w:asciiTheme="majorHAnsi" w:eastAsiaTheme="majorEastAsia" w:hAnsiTheme="majorHAnsi" w:cstheme="majorBidi"/>
        <w:noProof/>
        <w:color w:val="4F81BD" w:themeColor="accent1"/>
        <w:sz w:val="18"/>
        <w:szCs w:val="18"/>
      </w:rPr>
      <w:t>2</w:t>
    </w:r>
    <w:r w:rsidRPr="00F3400D">
      <w:rPr>
        <w:rFonts w:asciiTheme="majorHAnsi" w:eastAsiaTheme="majorEastAsia" w:hAnsiTheme="majorHAnsi" w:cstheme="majorBidi"/>
        <w:noProof/>
        <w:color w:val="4F81BD" w:themeColor="accent1"/>
        <w:sz w:val="18"/>
        <w:szCs w:val="18"/>
      </w:rPr>
      <w:fldChar w:fldCharType="end"/>
    </w:r>
    <w:r w:rsidRPr="00F3400D">
      <w:rPr>
        <w:rFonts w:asciiTheme="majorHAnsi" w:eastAsiaTheme="majorEastAsia" w:hAnsiTheme="majorHAnsi" w:cstheme="majorBidi"/>
        <w:noProof/>
        <w:color w:val="4F81BD" w:themeColor="accent1"/>
        <w:sz w:val="18"/>
        <w:szCs w:val="18"/>
      </w:rPr>
      <w:t xml:space="preserve">               This call for</w:t>
    </w:r>
    <w:r w:rsidR="00F3400D" w:rsidRPr="00F3400D">
      <w:rPr>
        <w:rFonts w:asciiTheme="majorHAnsi" w:eastAsiaTheme="majorEastAsia" w:hAnsiTheme="majorHAnsi" w:cstheme="majorBidi"/>
        <w:noProof/>
        <w:color w:val="4F81BD" w:themeColor="accent1"/>
        <w:sz w:val="18"/>
        <w:szCs w:val="18"/>
      </w:rPr>
      <w:t xml:space="preserve"> expression of</w:t>
    </w:r>
    <w:r w:rsidRPr="00F3400D">
      <w:rPr>
        <w:rFonts w:asciiTheme="majorHAnsi" w:eastAsiaTheme="majorEastAsia" w:hAnsiTheme="majorHAnsi" w:cstheme="majorBidi"/>
        <w:noProof/>
        <w:color w:val="4F81BD" w:themeColor="accent1"/>
        <w:sz w:val="18"/>
        <w:szCs w:val="18"/>
      </w:rPr>
      <w:t xml:space="preserve"> interst and its outcome</w:t>
    </w:r>
    <w:r w:rsidR="00F3400D" w:rsidRPr="00F3400D">
      <w:rPr>
        <w:rFonts w:asciiTheme="majorHAnsi" w:eastAsiaTheme="majorEastAsia" w:hAnsiTheme="majorHAnsi" w:cstheme="majorBidi"/>
        <w:noProof/>
        <w:color w:val="4F81BD" w:themeColor="accent1"/>
        <w:sz w:val="18"/>
        <w:szCs w:val="18"/>
      </w:rPr>
      <w:t xml:space="preserve"> do not commit Eye Media on any</w:t>
    </w:r>
    <w:r w:rsidR="00F3400D">
      <w:rPr>
        <w:rFonts w:asciiTheme="majorHAnsi" w:eastAsiaTheme="majorEastAsia" w:hAnsiTheme="majorHAnsi" w:cstheme="majorBidi"/>
        <w:noProof/>
        <w:color w:val="4F81BD" w:themeColor="accent1"/>
        <w:sz w:val="18"/>
        <w:szCs w:val="18"/>
      </w:rPr>
      <w:t xml:space="preserve"> </w:t>
    </w:r>
    <w:r w:rsidRPr="00F3400D">
      <w:rPr>
        <w:rFonts w:asciiTheme="majorHAnsi" w:eastAsiaTheme="majorEastAsia" w:hAnsiTheme="majorHAnsi" w:cstheme="majorBidi"/>
        <w:noProof/>
        <w:color w:val="4F81BD" w:themeColor="accent1"/>
        <w:sz w:val="18"/>
        <w:szCs w:val="18"/>
      </w:rPr>
      <w:t>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053" w:rsidRDefault="004B2053" w:rsidP="00A30618">
      <w:pPr>
        <w:spacing w:after="0" w:line="240" w:lineRule="auto"/>
      </w:pPr>
      <w:r>
        <w:separator/>
      </w:r>
    </w:p>
  </w:footnote>
  <w:footnote w:type="continuationSeparator" w:id="0">
    <w:p w:rsidR="004B2053" w:rsidRDefault="004B2053" w:rsidP="00A3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16F3"/>
    <w:multiLevelType w:val="hybridMultilevel"/>
    <w:tmpl w:val="6D2216F0"/>
    <w:lvl w:ilvl="0" w:tplc="05305C0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52FDA"/>
    <w:multiLevelType w:val="hybridMultilevel"/>
    <w:tmpl w:val="15E4211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86A0719"/>
    <w:multiLevelType w:val="hybridMultilevel"/>
    <w:tmpl w:val="C2C6D4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E7931"/>
    <w:multiLevelType w:val="hybridMultilevel"/>
    <w:tmpl w:val="4D4E1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5473AD"/>
    <w:multiLevelType w:val="hybridMultilevel"/>
    <w:tmpl w:val="EA10EF84"/>
    <w:lvl w:ilvl="0" w:tplc="5680DB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31"/>
    <w:rsid w:val="00096E70"/>
    <w:rsid w:val="000A2223"/>
    <w:rsid w:val="000E7B0B"/>
    <w:rsid w:val="001B1581"/>
    <w:rsid w:val="00384D76"/>
    <w:rsid w:val="003E65A2"/>
    <w:rsid w:val="003F0063"/>
    <w:rsid w:val="004150C4"/>
    <w:rsid w:val="00481531"/>
    <w:rsid w:val="004B2053"/>
    <w:rsid w:val="00543AD4"/>
    <w:rsid w:val="00574943"/>
    <w:rsid w:val="006560BA"/>
    <w:rsid w:val="006C44D0"/>
    <w:rsid w:val="009908C7"/>
    <w:rsid w:val="00A30618"/>
    <w:rsid w:val="00A43DC6"/>
    <w:rsid w:val="00A73861"/>
    <w:rsid w:val="00B37FCB"/>
    <w:rsid w:val="00B605C6"/>
    <w:rsid w:val="00D96AAE"/>
    <w:rsid w:val="00E06782"/>
    <w:rsid w:val="00F3400D"/>
    <w:rsid w:val="00F37119"/>
    <w:rsid w:val="00FD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ED4F"/>
  <w15:chartTrackingRefBased/>
  <w15:docId w15:val="{0DC7836A-53B0-4BAC-967B-D66ED06E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31"/>
    <w:pPr>
      <w:ind w:left="720"/>
      <w:contextualSpacing/>
    </w:pPr>
  </w:style>
  <w:style w:type="table" w:styleId="TableGrid">
    <w:name w:val="Table Grid"/>
    <w:basedOn w:val="TableNormal"/>
    <w:uiPriority w:val="59"/>
    <w:rsid w:val="00FD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0BA"/>
    <w:rPr>
      <w:color w:val="0000FF" w:themeColor="hyperlink"/>
      <w:u w:val="single"/>
    </w:rPr>
  </w:style>
  <w:style w:type="paragraph" w:styleId="Header">
    <w:name w:val="header"/>
    <w:basedOn w:val="Normal"/>
    <w:link w:val="HeaderChar"/>
    <w:uiPriority w:val="99"/>
    <w:unhideWhenUsed/>
    <w:rsid w:val="00A30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618"/>
  </w:style>
  <w:style w:type="paragraph" w:styleId="Footer">
    <w:name w:val="footer"/>
    <w:basedOn w:val="Normal"/>
    <w:link w:val="FooterChar"/>
    <w:uiPriority w:val="99"/>
    <w:unhideWhenUsed/>
    <w:rsid w:val="00A30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9F4F.91CC0A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uong.mayom@eyeradio.org" TargetMode="External"/><Relationship Id="rId5" Type="http://schemas.openxmlformats.org/officeDocument/2006/relationships/footnotes" Target="footnotes.xml"/><Relationship Id="rId10" Type="http://schemas.openxmlformats.org/officeDocument/2006/relationships/hyperlink" Target="mailto:David.Ayik@eyeradio.org" TargetMode="External"/><Relationship Id="rId4" Type="http://schemas.openxmlformats.org/officeDocument/2006/relationships/webSettings" Target="webSettings.xml"/><Relationship Id="rId9" Type="http://schemas.openxmlformats.org/officeDocument/2006/relationships/hyperlink" Target="mailto:David.Ayik@eyeradi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Gumbel Ayik</dc:creator>
  <cp:keywords/>
  <dc:description/>
  <cp:lastModifiedBy>Michael Juma Owan</cp:lastModifiedBy>
  <cp:revision>2</cp:revision>
  <dcterms:created xsi:type="dcterms:W3CDTF">2023-03-17T09:22:00Z</dcterms:created>
  <dcterms:modified xsi:type="dcterms:W3CDTF">2023-03-17T09:22:00Z</dcterms:modified>
</cp:coreProperties>
</file>