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F592" w14:textId="286DC682" w:rsidR="00ED4D58" w:rsidRPr="00EA059E" w:rsidRDefault="00A75C4A" w:rsidP="0098272B">
      <w:pPr>
        <w:rPr>
          <w:rFonts w:ascii="Lato" w:hAnsi="Lato" w:cs="Arial"/>
          <w:sz w:val="18"/>
          <w:szCs w:val="18"/>
        </w:rPr>
      </w:pPr>
      <w:r w:rsidRPr="00EA059E">
        <w:rPr>
          <w:rFonts w:ascii="Lato" w:hAnsi="Lato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1" layoutInCell="1" allowOverlap="1" wp14:anchorId="46AFFEE5" wp14:editId="0D4E1806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ED369" w14:textId="77777777" w:rsidR="00E71F00" w:rsidRPr="00AF63AF" w:rsidRDefault="00E71F00" w:rsidP="00E71F00">
      <w:pPr>
        <w:spacing w:after="0"/>
        <w:jc w:val="center"/>
        <w:rPr>
          <w:rFonts w:ascii="Lato" w:hAnsi="Lato" w:cs="Arial"/>
          <w:b/>
        </w:rPr>
      </w:pPr>
      <w:r w:rsidRPr="00AF63AF">
        <w:rPr>
          <w:rFonts w:ascii="Lato" w:hAnsi="Lato" w:cs="Arial"/>
          <w:b/>
        </w:rPr>
        <w:t>Tender Notice</w:t>
      </w:r>
    </w:p>
    <w:p w14:paraId="7DE10FCC" w14:textId="77777777" w:rsidR="001E5EC5" w:rsidRPr="00AF63AF" w:rsidRDefault="001E5EC5" w:rsidP="00E71F00">
      <w:pPr>
        <w:spacing w:after="0"/>
        <w:jc w:val="center"/>
        <w:rPr>
          <w:rFonts w:ascii="Lato" w:hAnsi="Lato" w:cs="Arial"/>
          <w:b/>
        </w:rPr>
      </w:pPr>
    </w:p>
    <w:p w14:paraId="3E280F34" w14:textId="1CE82899" w:rsidR="005970C8" w:rsidRPr="00AF63AF" w:rsidRDefault="00495DC8" w:rsidP="0037114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rPr>
          <w:rFonts w:ascii="Lato" w:hAnsi="Lato" w:cs="Arial"/>
          <w:iCs/>
          <w:kern w:val="0"/>
          <w:lang w:eastAsia="en-GB"/>
        </w:rPr>
      </w:pPr>
      <w:r w:rsidRPr="00AF63AF">
        <w:rPr>
          <w:rFonts w:ascii="Lato" w:hAnsi="Lato" w:cs="Arial"/>
          <w:iCs/>
          <w:kern w:val="0"/>
          <w:lang w:eastAsia="en-GB"/>
        </w:rPr>
        <w:t>Save the Children believes every child deserves a future. In</w:t>
      </w:r>
      <w:r w:rsidR="003940E4" w:rsidRPr="00AF63AF">
        <w:rPr>
          <w:rFonts w:ascii="Lato" w:hAnsi="Lato" w:cs="Arial"/>
          <w:iCs/>
          <w:kern w:val="0"/>
          <w:lang w:eastAsia="en-GB"/>
        </w:rPr>
        <w:t xml:space="preserve"> the </w:t>
      </w:r>
      <w:r w:rsidR="00BF4CE4" w:rsidRPr="00AF63AF">
        <w:rPr>
          <w:rFonts w:ascii="Lato" w:hAnsi="Lato" w:cs="Arial"/>
          <w:iCs/>
          <w:kern w:val="0"/>
          <w:lang w:eastAsia="en-GB"/>
        </w:rPr>
        <w:t>South Sudan</w:t>
      </w:r>
      <w:r w:rsidRPr="00AF63AF">
        <w:rPr>
          <w:rFonts w:ascii="Lato" w:hAnsi="Lato" w:cs="Arial"/>
          <w:iCs/>
          <w:color w:val="FF0000"/>
          <w:kern w:val="0"/>
          <w:lang w:eastAsia="en-GB"/>
        </w:rPr>
        <w:t xml:space="preserve"> </w:t>
      </w:r>
      <w:r w:rsidRPr="00AF63AF">
        <w:rPr>
          <w:rFonts w:ascii="Lato" w:hAnsi="Lato" w:cs="Arial"/>
          <w:iCs/>
          <w:kern w:val="0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AF63AF">
        <w:rPr>
          <w:rFonts w:ascii="Lato" w:hAnsi="Lato" w:cs="Arial"/>
          <w:iCs/>
          <w:kern w:val="0"/>
          <w:lang w:eastAsia="en-GB"/>
        </w:rPr>
        <w:t>.</w:t>
      </w:r>
    </w:p>
    <w:p w14:paraId="21DC0EBE" w14:textId="77777777" w:rsidR="00495DC8" w:rsidRPr="00AF63AF" w:rsidRDefault="00495DC8" w:rsidP="0037114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iCs/>
          <w:kern w:val="0"/>
          <w:lang w:eastAsia="en-GB"/>
        </w:rPr>
      </w:pPr>
    </w:p>
    <w:p w14:paraId="2B156974" w14:textId="32767052" w:rsidR="008B1535" w:rsidRPr="00AF63AF" w:rsidRDefault="001241CD" w:rsidP="008B1535">
      <w:pPr>
        <w:spacing w:after="0" w:line="276" w:lineRule="auto"/>
        <w:rPr>
          <w:rFonts w:ascii="Lato" w:hAnsi="Lato" w:cs="Arial"/>
        </w:rPr>
      </w:pPr>
      <w:r w:rsidRPr="001241CD">
        <w:rPr>
          <w:rFonts w:ascii="Lato" w:hAnsi="Lato" w:cs="Arial"/>
        </w:rPr>
        <w:t>Save the Children International in Juba invites qualified suppliers and service providers to submit</w:t>
      </w:r>
      <w:r>
        <w:rPr>
          <w:rFonts w:ascii="Lato" w:hAnsi="Lato" w:cs="Arial"/>
        </w:rPr>
        <w:t xml:space="preserve"> bids for the following service</w:t>
      </w:r>
      <w:r w:rsidR="004D7FAA">
        <w:rPr>
          <w:rFonts w:ascii="Lato" w:hAnsi="Lato" w:cs="Arial"/>
        </w:rPr>
        <w:t>:</w:t>
      </w:r>
    </w:p>
    <w:p w14:paraId="40E22A28" w14:textId="122CCB6E" w:rsidR="00EA059E" w:rsidRPr="001241CD" w:rsidRDefault="008E3FAF" w:rsidP="00EA059E">
      <w:pPr>
        <w:spacing w:after="0"/>
        <w:rPr>
          <w:rFonts w:ascii="Lato" w:hAnsi="Lato" w:cs="Arial"/>
          <w:b/>
          <w:sz w:val="22"/>
          <w:szCs w:val="22"/>
        </w:rPr>
      </w:pPr>
      <w:bookmarkStart w:id="0" w:name="_Hlk182389186"/>
      <w:r w:rsidRPr="001241CD">
        <w:rPr>
          <w:rFonts w:ascii="Lato" w:hAnsi="Lato" w:cs="Arial"/>
          <w:b/>
          <w:sz w:val="22"/>
          <w:szCs w:val="22"/>
        </w:rPr>
        <w:t>Animation, Summarizing, and Production of a Child-Friendly Version of the National Nutrition Policy.</w:t>
      </w:r>
    </w:p>
    <w:p w14:paraId="719A4F45" w14:textId="77777777" w:rsidR="008E3FAF" w:rsidRPr="00AF63AF" w:rsidRDefault="008E3FAF" w:rsidP="00EA059E">
      <w:pPr>
        <w:spacing w:after="0"/>
        <w:rPr>
          <w:rFonts w:ascii="Lato" w:hAnsi="Lato"/>
        </w:rPr>
      </w:pPr>
    </w:p>
    <w:bookmarkEnd w:id="0"/>
    <w:p w14:paraId="4A18B7BA" w14:textId="1F446BA9" w:rsidR="001241CD" w:rsidRPr="001241CD" w:rsidRDefault="001241CD" w:rsidP="001241CD">
      <w:pPr>
        <w:spacing w:after="0"/>
        <w:jc w:val="left"/>
        <w:rPr>
          <w:rFonts w:ascii="Lato" w:hAnsi="Lato"/>
          <w:color w:val="1F497D"/>
          <w:lang w:val="en-US"/>
        </w:rPr>
      </w:pPr>
      <w:r w:rsidRPr="001241CD">
        <w:rPr>
          <w:rFonts w:ascii="Lato" w:hAnsi="Lato" w:cs="Arial"/>
        </w:rPr>
        <w:t>Detailed technical specifications are provided in the TOR document. Interested applicants should request the TOR via email</w:t>
      </w:r>
      <w:r w:rsidR="0079666F" w:rsidRPr="0079666F">
        <w:rPr>
          <w:rFonts w:ascii="Lato" w:hAnsi="Lato"/>
          <w:kern w:val="0"/>
          <w:lang w:val="en-US" w:eastAsia="en-GB"/>
        </w:rPr>
        <w:t xml:space="preserve">: </w:t>
      </w:r>
      <w:hyperlink r:id="rId12" w:history="1">
        <w:r w:rsidR="0079666F" w:rsidRPr="00AF63AF">
          <w:rPr>
            <w:rStyle w:val="Hyperlink"/>
            <w:rFonts w:ascii="Lato" w:hAnsi="Lato" w:cs="Calibri Light"/>
            <w:kern w:val="0"/>
            <w:lang w:eastAsia="en-US"/>
          </w:rPr>
          <w:t>Juba.Procurement@savethechildren.org</w:t>
        </w:r>
      </w:hyperlink>
      <w:r w:rsidR="0079666F">
        <w:rPr>
          <w:rStyle w:val="Hyperlink"/>
          <w:rFonts w:ascii="Lato" w:hAnsi="Lato" w:cs="Calibri Light"/>
          <w:kern w:val="0"/>
          <w:lang w:eastAsia="en-US"/>
        </w:rPr>
        <w:t xml:space="preserve"> </w:t>
      </w:r>
    </w:p>
    <w:p w14:paraId="2ACDF84E" w14:textId="3ABB9A3C" w:rsidR="001241CD" w:rsidRDefault="00EA059E" w:rsidP="001241CD">
      <w:pPr>
        <w:spacing w:after="0" w:line="240" w:lineRule="auto"/>
        <w:rPr>
          <w:rFonts w:ascii="Lato" w:hAnsi="Lato" w:cs="Arial"/>
          <w:b/>
          <w:bCs/>
          <w:u w:val="single"/>
        </w:rPr>
      </w:pPr>
      <w:r w:rsidRPr="00AF63AF">
        <w:rPr>
          <w:rFonts w:ascii="Lato" w:hAnsi="Lato" w:cs="Arial"/>
          <w:b/>
          <w:bCs/>
          <w:u w:val="single"/>
        </w:rPr>
        <w:t>Eligibility Requirements:</w:t>
      </w:r>
      <w:r w:rsidRPr="00AF63AF">
        <w:rPr>
          <w:rFonts w:ascii="Lato" w:hAnsi="Lato" w:cs="Arial"/>
          <w:u w:val="single"/>
        </w:rPr>
        <w:t xml:space="preserve"> </w:t>
      </w:r>
      <w:bookmarkStart w:id="1" w:name="_Hlk158645335"/>
      <w:bookmarkStart w:id="2" w:name="_Hlk158648476"/>
    </w:p>
    <w:p w14:paraId="5026DB9A" w14:textId="414340D0" w:rsidR="001241CD" w:rsidRPr="001241CD" w:rsidRDefault="001241CD" w:rsidP="001241CD">
      <w:pPr>
        <w:pStyle w:val="ListParagraph"/>
        <w:numPr>
          <w:ilvl w:val="0"/>
          <w:numId w:val="11"/>
        </w:numPr>
        <w:spacing w:after="0" w:line="240" w:lineRule="auto"/>
        <w:rPr>
          <w:rFonts w:ascii="Lato" w:hAnsi="Lato" w:cs="Arial"/>
          <w:b/>
          <w:bCs/>
          <w:u w:val="single"/>
        </w:rPr>
      </w:pPr>
      <w:r w:rsidRPr="001241CD">
        <w:rPr>
          <w:rFonts w:ascii="Lato" w:hAnsi="Lato" w:cs="Arial"/>
        </w:rPr>
        <w:t>Companies must attach valid registration documents when requesting the TOR.</w:t>
      </w:r>
    </w:p>
    <w:p w14:paraId="378C17FC" w14:textId="6AC7CEE5" w:rsidR="001241CD" w:rsidRDefault="001241CD" w:rsidP="001241CD">
      <w:pPr>
        <w:pStyle w:val="ListParagraph"/>
        <w:numPr>
          <w:ilvl w:val="0"/>
          <w:numId w:val="11"/>
        </w:numPr>
        <w:spacing w:after="0" w:line="240" w:lineRule="auto"/>
        <w:jc w:val="left"/>
        <w:rPr>
          <w:rFonts w:ascii="Lato" w:hAnsi="Lato" w:cs="Arial"/>
        </w:rPr>
      </w:pPr>
      <w:r w:rsidRPr="001241CD">
        <w:rPr>
          <w:rFonts w:ascii="Lato" w:hAnsi="Lato" w:cs="Arial"/>
        </w:rPr>
        <w:t>Individual consultants must attach a copy of their Passport or National ID</w:t>
      </w:r>
    </w:p>
    <w:p w14:paraId="0E591F9B" w14:textId="77777777" w:rsidR="001241CD" w:rsidRPr="001241CD" w:rsidRDefault="001241CD" w:rsidP="001241CD">
      <w:pPr>
        <w:pStyle w:val="ListParagraph"/>
        <w:spacing w:after="0" w:line="240" w:lineRule="auto"/>
        <w:jc w:val="left"/>
        <w:rPr>
          <w:rFonts w:ascii="Lato" w:hAnsi="Lato" w:cs="Arial"/>
        </w:rPr>
      </w:pPr>
    </w:p>
    <w:p w14:paraId="6DFAEB12" w14:textId="3691732E" w:rsidR="001241CD" w:rsidRDefault="001241CD" w:rsidP="000E2BBB">
      <w:pPr>
        <w:spacing w:after="0" w:line="276" w:lineRule="auto"/>
        <w:rPr>
          <w:rFonts w:ascii="Lato" w:hAnsi="Lato" w:cs="Arial"/>
        </w:rPr>
      </w:pPr>
      <w:r w:rsidRPr="001241CD">
        <w:rPr>
          <w:rFonts w:ascii="Lato" w:hAnsi="Lato" w:cs="Arial"/>
        </w:rPr>
        <w:t xml:space="preserve">All inquiries should be directed to: </w:t>
      </w:r>
      <w:hyperlink r:id="rId13" w:history="1">
        <w:r w:rsidRPr="006914D6">
          <w:rPr>
            <w:rStyle w:val="Hyperlink"/>
            <w:rFonts w:ascii="Lato" w:hAnsi="Lato" w:cs="Arial"/>
          </w:rPr>
          <w:t>Juba.Procurement@savethechildren.org</w:t>
        </w:r>
      </w:hyperlink>
    </w:p>
    <w:p w14:paraId="2F868700" w14:textId="5ECCB2F9" w:rsidR="000E2BBB" w:rsidRPr="00AF63AF" w:rsidRDefault="000E2BBB" w:rsidP="000E2BBB">
      <w:pPr>
        <w:spacing w:after="0" w:line="276" w:lineRule="auto"/>
        <w:rPr>
          <w:rFonts w:ascii="Lato" w:hAnsi="Lato"/>
          <w:b/>
        </w:rPr>
      </w:pPr>
      <w:r w:rsidRPr="00AF63AF">
        <w:rPr>
          <w:rFonts w:ascii="Lato" w:hAnsi="Lato"/>
          <w:b/>
        </w:rPr>
        <w:t xml:space="preserve">Planned Procurement Schedule (subject to change) is as follows: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482"/>
      </w:tblGrid>
      <w:tr w:rsidR="00BD4085" w:rsidRPr="00BD4085" w14:paraId="241F1840" w14:textId="77777777" w:rsidTr="00CA771E">
        <w:trPr>
          <w:trHeight w:val="286"/>
          <w:jc w:val="center"/>
        </w:trPr>
        <w:tc>
          <w:tcPr>
            <w:tcW w:w="4589" w:type="dxa"/>
            <w:shd w:val="clear" w:color="auto" w:fill="FF0000"/>
          </w:tcPr>
          <w:p w14:paraId="55157726" w14:textId="77777777" w:rsidR="00BD4085" w:rsidRPr="00BD4085" w:rsidRDefault="00BD4085" w:rsidP="00BD4085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</w:pPr>
            <w:r w:rsidRPr="00BD4085"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>Activity</w:t>
            </w:r>
          </w:p>
        </w:tc>
        <w:tc>
          <w:tcPr>
            <w:tcW w:w="3482" w:type="dxa"/>
            <w:shd w:val="clear" w:color="auto" w:fill="FF0000"/>
          </w:tcPr>
          <w:p w14:paraId="3388D9FA" w14:textId="77777777" w:rsidR="00BD4085" w:rsidRPr="00BD4085" w:rsidRDefault="00BD4085" w:rsidP="00BD4085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</w:pPr>
            <w:r w:rsidRPr="00BD4085">
              <w:rPr>
                <w:rFonts w:cs="Arial"/>
                <w:color w:val="FFFFFF" w:themeColor="background1"/>
                <w:kern w:val="0"/>
                <w:sz w:val="22"/>
                <w:szCs w:val="22"/>
                <w:lang w:val="en-US" w:eastAsia="en-US"/>
              </w:rPr>
              <w:t>Date</w:t>
            </w:r>
          </w:p>
        </w:tc>
      </w:tr>
      <w:tr w:rsidR="00BD4085" w:rsidRPr="00BD4085" w14:paraId="0823EB9C" w14:textId="77777777" w:rsidTr="00CA771E">
        <w:trPr>
          <w:trHeight w:val="286"/>
          <w:jc w:val="center"/>
        </w:trPr>
        <w:tc>
          <w:tcPr>
            <w:tcW w:w="4589" w:type="dxa"/>
          </w:tcPr>
          <w:p w14:paraId="57F20D37" w14:textId="77777777" w:rsidR="00BD4085" w:rsidRPr="00BD4085" w:rsidRDefault="00BD4085" w:rsidP="00BD4085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proofErr w:type="gramStart"/>
            <w:r w:rsidRPr="00BD4085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Issue</w:t>
            </w:r>
            <w:proofErr w:type="gramEnd"/>
            <w:r w:rsidRPr="00BD4085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Invitation to Bidder</w:t>
            </w:r>
          </w:p>
        </w:tc>
        <w:tc>
          <w:tcPr>
            <w:tcW w:w="3482" w:type="dxa"/>
          </w:tcPr>
          <w:p w14:paraId="7BF1D922" w14:textId="4EF8E5C3" w:rsidR="00BD4085" w:rsidRPr="00BD4085" w:rsidRDefault="008E3FAF" w:rsidP="00BD4085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27/09</w:t>
            </w:r>
            <w:r w:rsidR="00BD4085" w:rsidRPr="00BD4085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/2025</w:t>
            </w:r>
          </w:p>
        </w:tc>
      </w:tr>
      <w:tr w:rsidR="00BD4085" w:rsidRPr="00BD4085" w14:paraId="6E59C499" w14:textId="77777777" w:rsidTr="00CA771E">
        <w:trPr>
          <w:trHeight w:val="270"/>
          <w:jc w:val="center"/>
        </w:trPr>
        <w:tc>
          <w:tcPr>
            <w:tcW w:w="4589" w:type="dxa"/>
          </w:tcPr>
          <w:p w14:paraId="7BAEAC34" w14:textId="77777777" w:rsidR="00BD4085" w:rsidRPr="00BD4085" w:rsidRDefault="00BD4085" w:rsidP="00BD4085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left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BD4085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Deadline for Bid Submission</w:t>
            </w:r>
          </w:p>
        </w:tc>
        <w:tc>
          <w:tcPr>
            <w:tcW w:w="3482" w:type="dxa"/>
          </w:tcPr>
          <w:p w14:paraId="771150E8" w14:textId="66E1DBA5" w:rsidR="00BD4085" w:rsidRPr="00BD4085" w:rsidRDefault="008E3FAF" w:rsidP="00BD4085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spacing w:after="0" w:line="276" w:lineRule="auto"/>
              <w:jc w:val="center"/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07/10</w:t>
            </w:r>
            <w:r w:rsidR="00BD4085" w:rsidRPr="00BD4085">
              <w:rPr>
                <w:rFonts w:cs="Arial"/>
                <w:color w:val="000000" w:themeColor="text1"/>
                <w:kern w:val="0"/>
                <w:sz w:val="22"/>
                <w:szCs w:val="22"/>
                <w:lang w:val="en-US" w:eastAsia="en-US"/>
              </w:rPr>
              <w:t>/2025</w:t>
            </w:r>
          </w:p>
        </w:tc>
      </w:tr>
      <w:bookmarkEnd w:id="1"/>
      <w:bookmarkEnd w:id="2"/>
    </w:tbl>
    <w:p w14:paraId="797D3828" w14:textId="77777777" w:rsidR="001241CD" w:rsidRDefault="001241CD" w:rsidP="00E625E0">
      <w:pPr>
        <w:spacing w:after="0"/>
        <w:rPr>
          <w:rFonts w:ascii="Lato" w:hAnsi="Lato"/>
          <w:b/>
          <w:u w:val="single"/>
        </w:rPr>
      </w:pPr>
    </w:p>
    <w:p w14:paraId="7FDE5184" w14:textId="7C6994C5" w:rsidR="00E625E0" w:rsidRPr="00AF63AF" w:rsidRDefault="00E625E0" w:rsidP="00E625E0">
      <w:pPr>
        <w:spacing w:after="0"/>
        <w:rPr>
          <w:rFonts w:ascii="Lato" w:hAnsi="Lato"/>
        </w:rPr>
      </w:pPr>
      <w:r w:rsidRPr="00AF63AF">
        <w:rPr>
          <w:rFonts w:ascii="Lato" w:hAnsi="Lato"/>
        </w:rPr>
        <w:t>Procurement Committee</w:t>
      </w:r>
    </w:p>
    <w:p w14:paraId="0EEA2952" w14:textId="5C01D590" w:rsidR="00E625E0" w:rsidRPr="00AF63AF" w:rsidRDefault="00E625E0" w:rsidP="00E625E0">
      <w:pPr>
        <w:spacing w:after="0"/>
        <w:rPr>
          <w:rFonts w:ascii="Lato" w:hAnsi="Lato"/>
        </w:rPr>
      </w:pPr>
      <w:r w:rsidRPr="00AF63AF">
        <w:rPr>
          <w:rFonts w:ascii="Lato" w:eastAsia="Calibri" w:hAnsi="Lato" w:cs="Calibri"/>
          <w:b/>
          <w:bCs/>
        </w:rPr>
        <w:t>Reference</w:t>
      </w:r>
      <w:r w:rsidRPr="00AF63AF">
        <w:rPr>
          <w:rFonts w:ascii="Lato" w:eastAsia="Calibri" w:hAnsi="Lato" w:cs="Calibri"/>
          <w:b/>
          <w:bCs/>
          <w:spacing w:val="-15"/>
        </w:rPr>
        <w:t xml:space="preserve"> </w:t>
      </w:r>
      <w:r w:rsidRPr="00AF63AF">
        <w:rPr>
          <w:rFonts w:ascii="Lato" w:eastAsia="Calibri" w:hAnsi="Lato" w:cs="Calibri"/>
          <w:b/>
          <w:bCs/>
          <w:spacing w:val="-1"/>
        </w:rPr>
        <w:t>number</w:t>
      </w:r>
      <w:bookmarkStart w:id="3" w:name="_Hlk182389426"/>
      <w:r w:rsidR="00141DED">
        <w:rPr>
          <w:rFonts w:ascii="Lato" w:eastAsia="Calibri" w:hAnsi="Lato" w:cs="Calibri"/>
          <w:b/>
          <w:bCs/>
          <w:spacing w:val="-1"/>
        </w:rPr>
        <w:t>s:</w:t>
      </w:r>
      <w:r w:rsidR="00A71B0A">
        <w:rPr>
          <w:rFonts w:ascii="Lato" w:hAnsi="Lato" w:cs="Arial"/>
          <w:b/>
        </w:rPr>
        <w:t xml:space="preserve"> </w:t>
      </w:r>
      <w:r w:rsidR="00BD4085">
        <w:rPr>
          <w:rFonts w:ascii="Lato" w:hAnsi="Lato" w:cs="Arial"/>
          <w:b/>
        </w:rPr>
        <w:t>SSD/2025/CONS</w:t>
      </w:r>
      <w:r w:rsidR="001241CD">
        <w:rPr>
          <w:rFonts w:ascii="Lato" w:hAnsi="Lato" w:cs="Arial"/>
          <w:b/>
        </w:rPr>
        <w:t>UL/008</w:t>
      </w:r>
    </w:p>
    <w:bookmarkEnd w:id="3"/>
    <w:p w14:paraId="483FE5B6" w14:textId="3464D2D5" w:rsidR="00E625E0" w:rsidRPr="00AF63AF" w:rsidRDefault="00E625E0" w:rsidP="00E625E0">
      <w:pPr>
        <w:spacing w:after="0"/>
        <w:rPr>
          <w:rFonts w:ascii="Lato" w:hAnsi="Lato" w:cs="Arial"/>
        </w:rPr>
      </w:pPr>
      <w:r w:rsidRPr="00AF63AF">
        <w:rPr>
          <w:rFonts w:ascii="Lato" w:hAnsi="Lato" w:cs="Arial"/>
        </w:rPr>
        <w:t>Save the Children International</w:t>
      </w:r>
      <w:r w:rsidR="00AF63AF" w:rsidRPr="00AF63AF">
        <w:rPr>
          <w:rFonts w:ascii="Lato" w:hAnsi="Lato" w:cs="Arial"/>
        </w:rPr>
        <w:t>, Hai Malakal, Juba South Sudan</w:t>
      </w:r>
    </w:p>
    <w:sectPr w:rsidR="00E625E0" w:rsidRPr="00AF63AF" w:rsidSect="005318D3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6EF2" w14:textId="77777777" w:rsidR="00B37D89" w:rsidRDefault="00B37D89">
      <w:r>
        <w:separator/>
      </w:r>
    </w:p>
  </w:endnote>
  <w:endnote w:type="continuationSeparator" w:id="0">
    <w:p w14:paraId="517EEC49" w14:textId="77777777" w:rsidR="00B37D89" w:rsidRDefault="00B3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F5C" w14:textId="502D0890" w:rsidR="00F32D5C" w:rsidRPr="00345419" w:rsidRDefault="00FB674A" w:rsidP="00345419">
    <w:pPr>
      <w:pStyle w:val="Footer"/>
      <w:jc w:val="center"/>
    </w:pPr>
    <w:r w:rsidRPr="00345419">
      <w:t>Tender Notice SC-PR-12a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CB28" w14:textId="77777777" w:rsidR="00B37D89" w:rsidRDefault="00B37D89">
      <w:r>
        <w:separator/>
      </w:r>
    </w:p>
  </w:footnote>
  <w:footnote w:type="continuationSeparator" w:id="0">
    <w:p w14:paraId="794F8DE9" w14:textId="77777777" w:rsidR="00B37D89" w:rsidRDefault="00B3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AB2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4E98"/>
    <w:multiLevelType w:val="hybridMultilevel"/>
    <w:tmpl w:val="B706019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8F792D"/>
    <w:multiLevelType w:val="hybridMultilevel"/>
    <w:tmpl w:val="30C4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55402"/>
    <w:multiLevelType w:val="hybridMultilevel"/>
    <w:tmpl w:val="1C5C3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519D6"/>
    <w:multiLevelType w:val="hybridMultilevel"/>
    <w:tmpl w:val="CBE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538"/>
    <w:multiLevelType w:val="hybridMultilevel"/>
    <w:tmpl w:val="D256EB1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9741A6"/>
    <w:multiLevelType w:val="hybridMultilevel"/>
    <w:tmpl w:val="6784C3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66379"/>
    <w:multiLevelType w:val="hybridMultilevel"/>
    <w:tmpl w:val="A1A0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144977">
    <w:abstractNumId w:val="1"/>
  </w:num>
  <w:num w:numId="2" w16cid:durableId="1666201552">
    <w:abstractNumId w:val="10"/>
  </w:num>
  <w:num w:numId="3" w16cid:durableId="1054888838">
    <w:abstractNumId w:val="5"/>
  </w:num>
  <w:num w:numId="4" w16cid:durableId="125512303">
    <w:abstractNumId w:val="2"/>
  </w:num>
  <w:num w:numId="5" w16cid:durableId="1726831375">
    <w:abstractNumId w:val="7"/>
  </w:num>
  <w:num w:numId="6" w16cid:durableId="1398091965">
    <w:abstractNumId w:val="0"/>
  </w:num>
  <w:num w:numId="7" w16cid:durableId="264844277">
    <w:abstractNumId w:val="3"/>
  </w:num>
  <w:num w:numId="8" w16cid:durableId="998000453">
    <w:abstractNumId w:val="6"/>
  </w:num>
  <w:num w:numId="9" w16cid:durableId="338429783">
    <w:abstractNumId w:val="8"/>
  </w:num>
  <w:num w:numId="10" w16cid:durableId="716661338">
    <w:abstractNumId w:val="4"/>
  </w:num>
  <w:num w:numId="11" w16cid:durableId="977607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08"/>
    <w:rsid w:val="0000312A"/>
    <w:rsid w:val="0001421D"/>
    <w:rsid w:val="00020581"/>
    <w:rsid w:val="00037236"/>
    <w:rsid w:val="0004251A"/>
    <w:rsid w:val="000462B0"/>
    <w:rsid w:val="00057B35"/>
    <w:rsid w:val="000631BB"/>
    <w:rsid w:val="00064B20"/>
    <w:rsid w:val="000A2CFC"/>
    <w:rsid w:val="000A45D8"/>
    <w:rsid w:val="000A5057"/>
    <w:rsid w:val="000B1763"/>
    <w:rsid w:val="000B4876"/>
    <w:rsid w:val="000D0D84"/>
    <w:rsid w:val="000E2BBB"/>
    <w:rsid w:val="000F368E"/>
    <w:rsid w:val="001062B1"/>
    <w:rsid w:val="00107544"/>
    <w:rsid w:val="00122C2A"/>
    <w:rsid w:val="001241CD"/>
    <w:rsid w:val="001253BF"/>
    <w:rsid w:val="0012612B"/>
    <w:rsid w:val="00135B6F"/>
    <w:rsid w:val="00135C07"/>
    <w:rsid w:val="00141DED"/>
    <w:rsid w:val="00146683"/>
    <w:rsid w:val="001666CC"/>
    <w:rsid w:val="0016680E"/>
    <w:rsid w:val="001965D2"/>
    <w:rsid w:val="00196ACE"/>
    <w:rsid w:val="001A3BF1"/>
    <w:rsid w:val="001C5467"/>
    <w:rsid w:val="001D06AC"/>
    <w:rsid w:val="001D7708"/>
    <w:rsid w:val="001E5EC5"/>
    <w:rsid w:val="002137CC"/>
    <w:rsid w:val="002166FE"/>
    <w:rsid w:val="002215D4"/>
    <w:rsid w:val="00241181"/>
    <w:rsid w:val="00254AAC"/>
    <w:rsid w:val="00263B9A"/>
    <w:rsid w:val="00276D36"/>
    <w:rsid w:val="002B08E8"/>
    <w:rsid w:val="002B186F"/>
    <w:rsid w:val="002D2A56"/>
    <w:rsid w:val="002E6F47"/>
    <w:rsid w:val="00345419"/>
    <w:rsid w:val="00347A8F"/>
    <w:rsid w:val="003616F9"/>
    <w:rsid w:val="00365FF2"/>
    <w:rsid w:val="00371146"/>
    <w:rsid w:val="00374C81"/>
    <w:rsid w:val="00381F75"/>
    <w:rsid w:val="003940E4"/>
    <w:rsid w:val="003946EB"/>
    <w:rsid w:val="003A392D"/>
    <w:rsid w:val="003A76A6"/>
    <w:rsid w:val="003C3DF3"/>
    <w:rsid w:val="003E69AA"/>
    <w:rsid w:val="003E6C18"/>
    <w:rsid w:val="003F3876"/>
    <w:rsid w:val="003F64AF"/>
    <w:rsid w:val="004040C3"/>
    <w:rsid w:val="00410132"/>
    <w:rsid w:val="00415358"/>
    <w:rsid w:val="00464537"/>
    <w:rsid w:val="00481C63"/>
    <w:rsid w:val="004840B4"/>
    <w:rsid w:val="00490813"/>
    <w:rsid w:val="0049200C"/>
    <w:rsid w:val="00493D8E"/>
    <w:rsid w:val="00495DC8"/>
    <w:rsid w:val="004C781F"/>
    <w:rsid w:val="004D4A0F"/>
    <w:rsid w:val="004D7FAA"/>
    <w:rsid w:val="00505F46"/>
    <w:rsid w:val="005132E7"/>
    <w:rsid w:val="00513693"/>
    <w:rsid w:val="00514682"/>
    <w:rsid w:val="00515D4A"/>
    <w:rsid w:val="005318D3"/>
    <w:rsid w:val="0054717C"/>
    <w:rsid w:val="00556834"/>
    <w:rsid w:val="005575DC"/>
    <w:rsid w:val="00573CC2"/>
    <w:rsid w:val="00576A1F"/>
    <w:rsid w:val="005777A8"/>
    <w:rsid w:val="0058557F"/>
    <w:rsid w:val="005970C8"/>
    <w:rsid w:val="005A6E1E"/>
    <w:rsid w:val="005B18BF"/>
    <w:rsid w:val="005B4580"/>
    <w:rsid w:val="005B4DF0"/>
    <w:rsid w:val="005E245F"/>
    <w:rsid w:val="005F3037"/>
    <w:rsid w:val="005F7A2C"/>
    <w:rsid w:val="00606D8A"/>
    <w:rsid w:val="00620DA2"/>
    <w:rsid w:val="00626F67"/>
    <w:rsid w:val="00633B88"/>
    <w:rsid w:val="00634545"/>
    <w:rsid w:val="00652741"/>
    <w:rsid w:val="006613D8"/>
    <w:rsid w:val="00667F4A"/>
    <w:rsid w:val="006770E5"/>
    <w:rsid w:val="00681920"/>
    <w:rsid w:val="00681E6D"/>
    <w:rsid w:val="00693053"/>
    <w:rsid w:val="00693385"/>
    <w:rsid w:val="006937BF"/>
    <w:rsid w:val="006977AA"/>
    <w:rsid w:val="006A69D6"/>
    <w:rsid w:val="006D4CBC"/>
    <w:rsid w:val="006D5838"/>
    <w:rsid w:val="006E3C5F"/>
    <w:rsid w:val="00700CC1"/>
    <w:rsid w:val="007156D7"/>
    <w:rsid w:val="00720623"/>
    <w:rsid w:val="0073791A"/>
    <w:rsid w:val="00743EB7"/>
    <w:rsid w:val="007445F3"/>
    <w:rsid w:val="00761119"/>
    <w:rsid w:val="007614EB"/>
    <w:rsid w:val="0079666F"/>
    <w:rsid w:val="00797B91"/>
    <w:rsid w:val="007A3E80"/>
    <w:rsid w:val="007B263A"/>
    <w:rsid w:val="007C0CD6"/>
    <w:rsid w:val="007D0B27"/>
    <w:rsid w:val="007D0F2E"/>
    <w:rsid w:val="007E57F1"/>
    <w:rsid w:val="00807025"/>
    <w:rsid w:val="00826072"/>
    <w:rsid w:val="00830174"/>
    <w:rsid w:val="00847E23"/>
    <w:rsid w:val="0085575E"/>
    <w:rsid w:val="008704EF"/>
    <w:rsid w:val="0087090E"/>
    <w:rsid w:val="008719C5"/>
    <w:rsid w:val="008A7C40"/>
    <w:rsid w:val="008B1535"/>
    <w:rsid w:val="008B2D6F"/>
    <w:rsid w:val="008B2E21"/>
    <w:rsid w:val="008C01FE"/>
    <w:rsid w:val="008C13E7"/>
    <w:rsid w:val="008C6C7A"/>
    <w:rsid w:val="008E3FAF"/>
    <w:rsid w:val="008E55CA"/>
    <w:rsid w:val="008F38EB"/>
    <w:rsid w:val="008F4FD2"/>
    <w:rsid w:val="00903831"/>
    <w:rsid w:val="00927F26"/>
    <w:rsid w:val="0093312F"/>
    <w:rsid w:val="009333AD"/>
    <w:rsid w:val="00961EAB"/>
    <w:rsid w:val="0098272B"/>
    <w:rsid w:val="00996780"/>
    <w:rsid w:val="009A0B12"/>
    <w:rsid w:val="009E4E4B"/>
    <w:rsid w:val="009F62F1"/>
    <w:rsid w:val="00A2160E"/>
    <w:rsid w:val="00A25A54"/>
    <w:rsid w:val="00A35A3D"/>
    <w:rsid w:val="00A475AB"/>
    <w:rsid w:val="00A711E8"/>
    <w:rsid w:val="00A71B0A"/>
    <w:rsid w:val="00A75C4A"/>
    <w:rsid w:val="00A82FBF"/>
    <w:rsid w:val="00A83871"/>
    <w:rsid w:val="00AA21AC"/>
    <w:rsid w:val="00AC2DDF"/>
    <w:rsid w:val="00AC36C8"/>
    <w:rsid w:val="00AE2F48"/>
    <w:rsid w:val="00AF63AF"/>
    <w:rsid w:val="00B05C23"/>
    <w:rsid w:val="00B1063D"/>
    <w:rsid w:val="00B1199F"/>
    <w:rsid w:val="00B23743"/>
    <w:rsid w:val="00B37D89"/>
    <w:rsid w:val="00B412E3"/>
    <w:rsid w:val="00B421EE"/>
    <w:rsid w:val="00B531B7"/>
    <w:rsid w:val="00B5415E"/>
    <w:rsid w:val="00B56C42"/>
    <w:rsid w:val="00B57DB3"/>
    <w:rsid w:val="00B80E52"/>
    <w:rsid w:val="00B86C80"/>
    <w:rsid w:val="00B87896"/>
    <w:rsid w:val="00BA56B9"/>
    <w:rsid w:val="00BB3C2C"/>
    <w:rsid w:val="00BD248A"/>
    <w:rsid w:val="00BD4085"/>
    <w:rsid w:val="00BD5BD6"/>
    <w:rsid w:val="00BE2D38"/>
    <w:rsid w:val="00BE3369"/>
    <w:rsid w:val="00BF0BAE"/>
    <w:rsid w:val="00BF4CE4"/>
    <w:rsid w:val="00C2506A"/>
    <w:rsid w:val="00C27A03"/>
    <w:rsid w:val="00C31F4D"/>
    <w:rsid w:val="00C3416E"/>
    <w:rsid w:val="00C34BEF"/>
    <w:rsid w:val="00C46704"/>
    <w:rsid w:val="00C50416"/>
    <w:rsid w:val="00CA0193"/>
    <w:rsid w:val="00CA667F"/>
    <w:rsid w:val="00CD6293"/>
    <w:rsid w:val="00CD7609"/>
    <w:rsid w:val="00CD7BA0"/>
    <w:rsid w:val="00CE3A3F"/>
    <w:rsid w:val="00CE5DCB"/>
    <w:rsid w:val="00CF55FC"/>
    <w:rsid w:val="00D03381"/>
    <w:rsid w:val="00D07728"/>
    <w:rsid w:val="00D11213"/>
    <w:rsid w:val="00D115D5"/>
    <w:rsid w:val="00D21FA5"/>
    <w:rsid w:val="00D22D22"/>
    <w:rsid w:val="00D3461F"/>
    <w:rsid w:val="00D374C9"/>
    <w:rsid w:val="00D60571"/>
    <w:rsid w:val="00D622AA"/>
    <w:rsid w:val="00D726E4"/>
    <w:rsid w:val="00D751CF"/>
    <w:rsid w:val="00D95277"/>
    <w:rsid w:val="00DA52A2"/>
    <w:rsid w:val="00DA6C3D"/>
    <w:rsid w:val="00DC1ABD"/>
    <w:rsid w:val="00DF4655"/>
    <w:rsid w:val="00E0043C"/>
    <w:rsid w:val="00E15EFE"/>
    <w:rsid w:val="00E179E3"/>
    <w:rsid w:val="00E40974"/>
    <w:rsid w:val="00E62222"/>
    <w:rsid w:val="00E625E0"/>
    <w:rsid w:val="00E67EF9"/>
    <w:rsid w:val="00E71F00"/>
    <w:rsid w:val="00E7222D"/>
    <w:rsid w:val="00E87C63"/>
    <w:rsid w:val="00EA059E"/>
    <w:rsid w:val="00EB3751"/>
    <w:rsid w:val="00EC6F67"/>
    <w:rsid w:val="00ED4D58"/>
    <w:rsid w:val="00EE2635"/>
    <w:rsid w:val="00EE3217"/>
    <w:rsid w:val="00EE3BD7"/>
    <w:rsid w:val="00F07FA4"/>
    <w:rsid w:val="00F16569"/>
    <w:rsid w:val="00F212F0"/>
    <w:rsid w:val="00F270EC"/>
    <w:rsid w:val="00F32D5C"/>
    <w:rsid w:val="00F406E2"/>
    <w:rsid w:val="00F502E7"/>
    <w:rsid w:val="00F512AB"/>
    <w:rsid w:val="00F525D5"/>
    <w:rsid w:val="00F53D43"/>
    <w:rsid w:val="00F568BA"/>
    <w:rsid w:val="00F60756"/>
    <w:rsid w:val="00F81CB2"/>
    <w:rsid w:val="00FB16B0"/>
    <w:rsid w:val="00FB674A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59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2E7"/>
    <w:pPr>
      <w:keepNext/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uiPriority w:val="99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CB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B263A"/>
    <w:pPr>
      <w:widowControl w:val="0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25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02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rsid w:val="000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ba.Procurement@savethechildre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ba.Procurement@savethechildre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5222A1145C34A980266FF47B5CE84" ma:contentTypeVersion="18" ma:contentTypeDescription="Create a new document." ma:contentTypeScope="" ma:versionID="b003676002c693910611684bdb9186a0">
  <xsd:schema xmlns:xsd="http://www.w3.org/2001/XMLSchema" xmlns:xs="http://www.w3.org/2001/XMLSchema" xmlns:p="http://schemas.microsoft.com/office/2006/metadata/properties" xmlns:ns3="cc77940c-cdb1-46ad-b44b-c0eb823e73c7" xmlns:ns4="b015b3bc-5f92-4e69-8723-e20ea617f2b7" targetNamespace="http://schemas.microsoft.com/office/2006/metadata/properties" ma:root="true" ma:fieldsID="c5c29dd42a8dd4d7f5ec0451c1ceebda" ns3:_="" ns4:_="">
    <xsd:import namespace="cc77940c-cdb1-46ad-b44b-c0eb823e73c7"/>
    <xsd:import namespace="b015b3bc-5f92-4e69-8723-e20ea617f2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940c-cdb1-46ad-b44b-c0eb823e7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b3bc-5f92-4e69-8723-e20ea617f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7940c-cdb1-46ad-b44b-c0eb823e73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1A466-39AB-467F-A355-8EA065FFD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2ADBB-B3E7-4D7B-AD2E-1F079D14E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7940c-cdb1-46ad-b44b-c0eb823e73c7"/>
    <ds:schemaRef ds:uri="b015b3bc-5f92-4e69-8723-e20ea617f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cc77940c-cdb1-46ad-b44b-c0eb823e73c7"/>
  </ds:schemaRefs>
</ds:datastoreItem>
</file>

<file path=customXml/itemProps4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Robert, Igga</cp:lastModifiedBy>
  <cp:revision>2</cp:revision>
  <dcterms:created xsi:type="dcterms:W3CDTF">2025-09-26T09:17:00Z</dcterms:created>
  <dcterms:modified xsi:type="dcterms:W3CDTF">2025-09-26T09:17:00Z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0x0101007FD5222A1145C34A980266FF47B5CE84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</Properties>
</file>