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Lato" w:hAnsi="Lato" w:cs="Arial"/>
          <w:sz w:val="28"/>
        </w:rPr>
      </w:pPr>
      <w:bookmarkStart w:id="0" w:name="_GoBack"/>
      <w:bookmarkEnd w:id="0"/>
      <w:r>
        <w:rPr>
          <w:rFonts w:ascii="Lato" w:hAnsi="Lato"/>
          <w:sz w:val="28"/>
          <w:lang w:val="en-US" w:eastAsia="en-US"/>
        </w:rPr>
        <w:drawing>
          <wp:anchor distT="0" distB="0" distL="114300" distR="114300" simplePos="0" relativeHeight="251659264" behindDoc="1" locked="1" layoutInCell="1" allowOverlap="1">
            <wp:simplePos x="0" y="0"/>
            <wp:positionH relativeFrom="page">
              <wp:posOffset>5223510</wp:posOffset>
            </wp:positionH>
            <wp:positionV relativeFrom="page">
              <wp:posOffset>492760</wp:posOffset>
            </wp:positionV>
            <wp:extent cx="1868170" cy="3949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8170" cy="394970"/>
                    </a:xfrm>
                    <a:prstGeom prst="rect">
                      <a:avLst/>
                    </a:prstGeom>
                    <a:noFill/>
                    <a:ln>
                      <a:noFill/>
                    </a:ln>
                    <a:effectLst/>
                  </pic:spPr>
                </pic:pic>
              </a:graphicData>
            </a:graphic>
          </wp:anchor>
        </w:drawing>
      </w:r>
      <w:r>
        <w:rPr>
          <w:rFonts w:ascii="Lato" w:hAnsi="Lato" w:cs="Arial"/>
          <w:b/>
          <w:sz w:val="36"/>
        </w:rPr>
        <w:t>Construction Tender Notice</w:t>
      </w:r>
    </w:p>
    <w:p>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iCs/>
          <w:kern w:val="0"/>
          <w:lang w:eastAsia="en-GB"/>
        </w:rPr>
      </w:pPr>
    </w:p>
    <w:p>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iCs/>
          <w:kern w:val="0"/>
          <w:lang w:eastAsia="en-GB"/>
        </w:rPr>
      </w:pPr>
      <w:r>
        <w:rPr>
          <w:rFonts w:ascii="Lato" w:hAnsi="Lato" w:cs="Arial"/>
          <w:iCs/>
          <w:kern w:val="0"/>
          <w:lang w:eastAsia="en-GB"/>
        </w:rPr>
        <w:t>Save the Children believes every child deserves a future. In the South Sudan and around the world, we give children a healthy start in life, the opportunity to learn and protection from harm. We do whatever it takes for children – every day and in times of crisis – transforming their lives and the future we share.</w:t>
      </w:r>
    </w:p>
    <w:p>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iCs/>
          <w:kern w:val="0"/>
          <w:lang w:eastAsia="en-GB"/>
        </w:rPr>
      </w:pPr>
    </w:p>
    <w:p>
      <w:pPr>
        <w:spacing w:after="0" w:line="240" w:lineRule="auto"/>
        <w:rPr>
          <w:rFonts w:ascii="Lato" w:hAnsi="Lato" w:cs="Arial"/>
        </w:rPr>
      </w:pPr>
      <w:r>
        <w:rPr>
          <w:rFonts w:ascii="Lato" w:hAnsi="Lato" w:cs="Arial"/>
        </w:rPr>
        <w:t>Save the Children International in</w:t>
      </w:r>
      <w:r>
        <w:rPr>
          <w:rFonts w:ascii="Lato" w:hAnsi="Lato" w:cs="Arial"/>
          <w:i/>
        </w:rPr>
        <w:t xml:space="preserve"> </w:t>
      </w:r>
      <w:r>
        <w:rPr>
          <w:rFonts w:ascii="Lato" w:hAnsi="Lato" w:cs="Arial"/>
        </w:rPr>
        <w:t>South Sudan is inviting submissions of tenders for a contract to provide the following Works;</w:t>
      </w:r>
    </w:p>
    <w:p>
      <w:pPr>
        <w:spacing w:after="0" w:line="240" w:lineRule="auto"/>
        <w:rPr>
          <w:rFonts w:ascii="Lato" w:hAnsi="Lato" w:cs="Arial"/>
        </w:rPr>
      </w:pPr>
    </w:p>
    <w:p>
      <w:pPr>
        <w:pStyle w:val="12"/>
        <w:numPr>
          <w:ilvl w:val="0"/>
          <w:numId w:val="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eastAsiaTheme="minorEastAsia"/>
          <w:b/>
          <w:kern w:val="0"/>
          <w:lang w:eastAsia="en-GB"/>
        </w:rPr>
      </w:pPr>
      <w:r>
        <w:rPr>
          <w:rFonts w:ascii="Lato" w:hAnsi="Lato" w:cs="Arial" w:eastAsiaTheme="minorEastAsia"/>
          <w:b/>
          <w:kern w:val="0"/>
          <w:lang w:eastAsia="en-GB"/>
        </w:rPr>
        <w:t xml:space="preserve">Drilling of Borehole and Installation of Solar Pump System with Water Tank, Tank Stand and Community Water Points at Koat Nutrition Centre and Weirret Walgak At Akobo East Jongolei State: </w:t>
      </w:r>
      <w:r>
        <w:rPr>
          <w:rFonts w:ascii="Lato" w:hAnsi="Lato" w:cs="Arial" w:eastAsiaTheme="minorEastAsia"/>
          <w:b/>
          <w:color w:val="FF0000"/>
          <w:kern w:val="0"/>
          <w:lang w:eastAsia="en-GB"/>
        </w:rPr>
        <w:t>Ref No. ITT/SCI/SSD/CONS/2024/009.</w:t>
      </w:r>
    </w:p>
    <w:p>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eastAsiaTheme="minorEastAsia"/>
          <w:b/>
          <w:color w:val="FF0000"/>
          <w:kern w:val="0"/>
          <w:lang w:eastAsia="en-GB"/>
        </w:rPr>
      </w:pPr>
    </w:p>
    <w:p>
      <w:pPr>
        <w:pStyle w:val="12"/>
        <w:numPr>
          <w:ilvl w:val="0"/>
          <w:numId w:val="2"/>
        </w:numPr>
        <w:jc w:val="left"/>
        <w:rPr>
          <w:rFonts w:ascii="Lato" w:hAnsi="Lato" w:cs="Arial"/>
          <w:b/>
          <w:sz w:val="22"/>
          <w:szCs w:val="22"/>
        </w:rPr>
      </w:pPr>
      <w:r>
        <w:rPr>
          <w:rFonts w:ascii="Lato" w:hAnsi="Lato" w:cs="Arial"/>
          <w:b/>
          <w:szCs w:val="22"/>
        </w:rPr>
        <w:t>Drilling of Borehole and Installation of Solar Pump System with Water Tank, Tank Stand and Community Water Points at</w:t>
      </w:r>
      <w:r>
        <w:rPr>
          <w:rFonts w:ascii="Lato" w:hAnsi="Lato"/>
          <w:sz w:val="18"/>
        </w:rPr>
        <w:t xml:space="preserve"> </w:t>
      </w:r>
      <w:r>
        <w:rPr>
          <w:rFonts w:ascii="Lato" w:hAnsi="Lato" w:cs="Arial"/>
          <w:b/>
          <w:szCs w:val="22"/>
        </w:rPr>
        <w:t>Koat Nutrition Centre and Dengjok At Akobo East Jongolei State and Drilling Boreholes and Installation with India Mark II Hand Pumps at Akobo East Jongolei State:</w:t>
      </w:r>
      <w:r>
        <w:rPr>
          <w:rFonts w:ascii="Lato" w:hAnsi="Lato" w:cs="Arial"/>
          <w:b/>
          <w:sz w:val="22"/>
          <w:szCs w:val="22"/>
        </w:rPr>
        <w:t xml:space="preserve"> </w:t>
      </w:r>
      <w:r>
        <w:rPr>
          <w:rFonts w:ascii="Lato" w:hAnsi="Lato" w:cs="Arial" w:eastAsiaTheme="minorEastAsia"/>
          <w:b/>
          <w:color w:val="FF0000"/>
          <w:kern w:val="0"/>
          <w:lang w:eastAsia="en-GB"/>
        </w:rPr>
        <w:t>Ref No. ITT/SCI/SSD/CONS/2024/010</w:t>
      </w:r>
    </w:p>
    <w:p>
      <w:pPr>
        <w:pStyle w:val="12"/>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eastAsiaTheme="minorEastAsia"/>
          <w:b/>
          <w:color w:val="FF0000"/>
          <w:kern w:val="0"/>
          <w:lang w:eastAsia="en-GB"/>
        </w:rPr>
      </w:pPr>
    </w:p>
    <w:p>
      <w:pPr>
        <w:pStyle w:val="12"/>
        <w:numPr>
          <w:ilvl w:val="0"/>
          <w:numId w:val="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eastAsiaTheme="minorEastAsia"/>
          <w:b/>
          <w:color w:val="FF0000"/>
          <w:kern w:val="0"/>
          <w:lang w:eastAsia="en-GB"/>
        </w:rPr>
      </w:pPr>
      <w:r>
        <w:rPr>
          <w:rFonts w:ascii="Lato" w:hAnsi="Lato" w:cs="Arial" w:eastAsiaTheme="minorEastAsia"/>
          <w:b/>
          <w:kern w:val="0"/>
          <w:lang w:eastAsia="en-GB"/>
        </w:rPr>
        <w:t xml:space="preserve">Drilling Boreholes and Installation with India Mark II Hand Pumps at Akobo East Jongolei State: </w:t>
      </w:r>
      <w:r>
        <w:rPr>
          <w:rFonts w:ascii="Lato" w:hAnsi="Lato" w:cs="Arial" w:eastAsiaTheme="minorEastAsia"/>
          <w:b/>
          <w:color w:val="FF0000"/>
          <w:kern w:val="0"/>
          <w:lang w:eastAsia="en-GB"/>
        </w:rPr>
        <w:t>Ref No. ITT/SCI/SSD/CONS/2023/011</w:t>
      </w:r>
    </w:p>
    <w:p>
      <w:pPr>
        <w:pStyle w:val="12"/>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eastAsiaTheme="minorEastAsia"/>
          <w:b/>
          <w:kern w:val="0"/>
          <w:lang w:eastAsia="en-GB"/>
        </w:rPr>
      </w:pPr>
    </w:p>
    <w:p>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Lato" w:hAnsi="Lato" w:cs="Arial" w:eastAsiaTheme="minorEastAsia"/>
          <w:b/>
          <w:kern w:val="0"/>
          <w:lang w:eastAsia="en-GB"/>
        </w:rPr>
      </w:pPr>
    </w:p>
    <w:p>
      <w:pPr>
        <w:pStyle w:val="9"/>
        <w:spacing w:after="0" w:line="276" w:lineRule="auto"/>
        <w:ind w:left="0" w:firstLine="0"/>
        <w:rPr>
          <w:rFonts w:ascii="Lato" w:hAnsi="Lato" w:cs="Arial"/>
        </w:rPr>
      </w:pPr>
      <w:r>
        <w:rPr>
          <w:rFonts w:ascii="Lato" w:hAnsi="Lato" w:cs="Arial"/>
        </w:rPr>
        <w:t xml:space="preserve">Detailed Specifications are included within the tender documents. </w:t>
      </w:r>
    </w:p>
    <w:p>
      <w:pPr>
        <w:spacing w:after="0" w:line="276" w:lineRule="auto"/>
        <w:rPr>
          <w:rFonts w:ascii="Lato" w:hAnsi="Lato" w:cs="Arial"/>
        </w:rPr>
      </w:pPr>
      <w:r>
        <w:rPr>
          <w:rFonts w:ascii="Lato" w:hAnsi="Lato" w:cs="Arial"/>
        </w:rPr>
        <w:t xml:space="preserve">If you are interested in submitting a bid, please send your request at the following address </w:t>
      </w:r>
      <w:r>
        <w:fldChar w:fldCharType="begin"/>
      </w:r>
      <w:r>
        <w:instrText xml:space="preserve"> HYPERLINK "mailto:Juba.Procurement@savethechildren.org" </w:instrText>
      </w:r>
      <w:r>
        <w:fldChar w:fldCharType="separate"/>
      </w:r>
      <w:r>
        <w:rPr>
          <w:rStyle w:val="8"/>
          <w:rFonts w:ascii="Lato" w:hAnsi="Lato" w:cs="Arial"/>
          <w:i/>
          <w:sz w:val="24"/>
        </w:rPr>
        <w:t>Juba.Procurement@savethechildren.org</w:t>
      </w:r>
      <w:r>
        <w:rPr>
          <w:rStyle w:val="8"/>
          <w:rFonts w:ascii="Lato" w:hAnsi="Lato" w:cs="Arial"/>
          <w:i/>
          <w:sz w:val="24"/>
        </w:rPr>
        <w:fldChar w:fldCharType="end"/>
      </w:r>
      <w:r>
        <w:rPr>
          <w:rFonts w:ascii="Lato" w:hAnsi="Lato" w:cs="Arial"/>
          <w:i/>
        </w:rPr>
        <w:t xml:space="preserve">  </w:t>
      </w:r>
      <w:r>
        <w:rPr>
          <w:rFonts w:ascii="Lato" w:hAnsi="Lato" w:cs="Arial"/>
        </w:rPr>
        <w:t>to express your interest and Tender documents will be sent to you in return.</w:t>
      </w:r>
    </w:p>
    <w:p>
      <w:pPr>
        <w:spacing w:after="0" w:line="276" w:lineRule="auto"/>
        <w:rPr>
          <w:rFonts w:ascii="Lato" w:hAnsi="Lato" w:cs="Arial"/>
        </w:rPr>
      </w:pPr>
    </w:p>
    <w:p>
      <w:pPr>
        <w:spacing w:after="0" w:line="276" w:lineRule="auto"/>
        <w:rPr>
          <w:rFonts w:ascii="Lato" w:hAnsi="Lato" w:cs="Arial"/>
          <w:b/>
          <w:lang w:val="en-US"/>
        </w:rPr>
      </w:pPr>
      <w:r>
        <w:rPr>
          <w:rFonts w:ascii="Lato" w:hAnsi="Lato" w:cs="Arial"/>
          <w:b/>
        </w:rPr>
        <w:t>OR</w:t>
      </w:r>
      <w:r>
        <w:rPr>
          <w:rFonts w:ascii="Lato" w:hAnsi="Lato" w:cs="Arial"/>
          <w:b/>
          <w:lang w:val="en-US"/>
        </w:rPr>
        <w:t xml:space="preserve"> </w:t>
      </w:r>
    </w:p>
    <w:p>
      <w:pPr>
        <w:spacing w:after="0" w:line="276" w:lineRule="auto"/>
        <w:rPr>
          <w:rFonts w:ascii="Lato" w:hAnsi="Lato" w:cs="Arial"/>
          <w:lang w:val="en-US"/>
        </w:rPr>
      </w:pPr>
      <w:r>
        <w:rPr>
          <w:rFonts w:ascii="Lato" w:hAnsi="Lato" w:cs="Arial"/>
          <w:lang w:val="en-US"/>
        </w:rPr>
        <w:t xml:space="preserve">Bring your Memory Stick to collect tender documents from our office situated in Hai Malakal, opposite workers Trade Union office, next to the former Norwegian Embassy. You will be asked to register your name, your company name, contact number, and e-mail address. </w:t>
      </w:r>
    </w:p>
    <w:p>
      <w:pPr>
        <w:spacing w:after="0" w:line="276" w:lineRule="auto"/>
        <w:rPr>
          <w:rFonts w:ascii="Lato" w:hAnsi="Lato" w:cs="Arial"/>
          <w:b/>
          <w:sz w:val="24"/>
        </w:rPr>
      </w:pPr>
      <w:r>
        <w:rPr>
          <w:rFonts w:ascii="Lato" w:hAnsi="Lato" w:cs="Arial"/>
          <w:b/>
          <w:sz w:val="24"/>
          <w:lang w:val="en-US"/>
        </w:rPr>
        <w:t>Office hours from 8:30-13:00, 14:00-17:00</w:t>
      </w:r>
      <w:r>
        <w:rPr>
          <w:rFonts w:ascii="Lato" w:hAnsi="Lato" w:cs="Arial"/>
          <w:b/>
          <w:sz w:val="24"/>
        </w:rPr>
        <w:t xml:space="preserve"> </w:t>
      </w:r>
    </w:p>
    <w:p>
      <w:pPr>
        <w:spacing w:after="0" w:line="276" w:lineRule="auto"/>
        <w:rPr>
          <w:rFonts w:ascii="Lato" w:hAnsi="Lato" w:cs="Arial"/>
          <w:i/>
          <w:color w:val="FF0000"/>
        </w:rPr>
      </w:pPr>
      <w:r>
        <w:rPr>
          <w:rFonts w:ascii="Lato" w:hAnsi="Lato" w:cs="Arial"/>
        </w:rPr>
        <w:t xml:space="preserve">It is recommended to request / collect the tender documents as soon as possible. </w:t>
      </w:r>
    </w:p>
    <w:p>
      <w:pPr>
        <w:spacing w:after="0" w:line="276" w:lineRule="auto"/>
        <w:rPr>
          <w:rFonts w:ascii="Lato" w:hAnsi="Lato" w:cs="Arial"/>
          <w:b/>
        </w:rPr>
      </w:pPr>
      <w:r>
        <w:rPr>
          <w:rFonts w:ascii="Lato" w:hAnsi="Lato" w:cs="Arial"/>
        </w:rPr>
        <w:t xml:space="preserve">Completed tender documents are due to be submitted by </w:t>
      </w:r>
      <w:r>
        <w:rPr>
          <w:rFonts w:ascii="Lato" w:hAnsi="Lato" w:cs="Arial"/>
          <w:b/>
          <w:sz w:val="24"/>
        </w:rPr>
        <w:t>26</w:t>
      </w:r>
      <w:r>
        <w:rPr>
          <w:rFonts w:ascii="Lato" w:hAnsi="Lato" w:cs="Arial"/>
          <w:b/>
          <w:sz w:val="24"/>
          <w:vertAlign w:val="superscript"/>
        </w:rPr>
        <w:t xml:space="preserve">th  </w:t>
      </w:r>
      <w:r>
        <w:rPr>
          <w:rFonts w:ascii="Lato" w:hAnsi="Lato" w:cs="Arial"/>
          <w:b/>
          <w:sz w:val="24"/>
        </w:rPr>
        <w:t>02 2024</w:t>
      </w:r>
    </w:p>
    <w:p>
      <w:pPr>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ascii="Lato" w:hAnsi="Lato" w:cs="Arial"/>
        </w:rPr>
      </w:pPr>
      <w:r>
        <w:rPr>
          <w:rFonts w:ascii="Lato" w:hAnsi="Lato" w:cs="Arial"/>
        </w:rPr>
        <w:t xml:space="preserve">All completed bids should be submitted through the below email address </w:t>
      </w:r>
    </w:p>
    <w:p>
      <w:pPr>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ascii="Lato" w:hAnsi="Lato" w:cs="Arial"/>
        </w:rPr>
      </w:pPr>
      <w:r>
        <w:fldChar w:fldCharType="begin"/>
      </w:r>
      <w:r>
        <w:instrText xml:space="preserve"> HYPERLINK "mailto:email-southsudantenders@savethechildren.org" </w:instrText>
      </w:r>
      <w:r>
        <w:fldChar w:fldCharType="separate"/>
      </w:r>
      <w:r>
        <w:rPr>
          <w:rStyle w:val="8"/>
          <w:rFonts w:ascii="Lato" w:hAnsi="Lato" w:cs="Arial"/>
          <w:sz w:val="24"/>
        </w:rPr>
        <w:t>southsudantenders@savethechildren.org</w:t>
      </w:r>
      <w:r>
        <w:rPr>
          <w:rStyle w:val="8"/>
          <w:rFonts w:ascii="Lato" w:hAnsi="Lato" w:cs="Arial"/>
          <w:sz w:val="24"/>
        </w:rPr>
        <w:fldChar w:fldCharType="end"/>
      </w:r>
      <w:r>
        <w:rPr>
          <w:rFonts w:ascii="Lato" w:hAnsi="Lato" w:cs="Arial"/>
          <w:sz w:val="24"/>
        </w:rPr>
        <w:t xml:space="preserve"> </w:t>
      </w:r>
      <w:r>
        <w:rPr>
          <w:rFonts w:ascii="Lato" w:hAnsi="Lato" w:cs="Arial"/>
        </w:rPr>
        <w:t xml:space="preserve">and hand delivery in the physical address provided above, not later than </w:t>
      </w:r>
      <w:r>
        <w:rPr>
          <w:rFonts w:ascii="Lato" w:hAnsi="Lato" w:cs="Arial"/>
          <w:b/>
          <w:sz w:val="24"/>
        </w:rPr>
        <w:t>5:00pm on 26</w:t>
      </w:r>
      <w:r>
        <w:rPr>
          <w:rFonts w:ascii="Lato" w:hAnsi="Lato" w:cs="Arial"/>
          <w:b/>
          <w:sz w:val="24"/>
          <w:vertAlign w:val="superscript"/>
        </w:rPr>
        <w:t xml:space="preserve">th </w:t>
      </w:r>
      <w:r>
        <w:rPr>
          <w:rFonts w:ascii="Lato" w:hAnsi="Lato" w:cs="Arial"/>
          <w:b/>
          <w:sz w:val="24"/>
        </w:rPr>
        <w:t>February 2024</w:t>
      </w:r>
    </w:p>
    <w:p>
      <w:pPr>
        <w:spacing w:after="0" w:line="276" w:lineRule="auto"/>
        <w:rPr>
          <w:rFonts w:ascii="Lato" w:hAnsi="Lato" w:cs="Arial"/>
        </w:rPr>
      </w:pPr>
    </w:p>
    <w:p>
      <w:pPr>
        <w:spacing w:after="0" w:line="276" w:lineRule="auto"/>
        <w:rPr>
          <w:rFonts w:ascii="Lato" w:hAnsi="Lato" w:cs="Arial"/>
        </w:rPr>
      </w:pPr>
      <w:r>
        <w:rPr>
          <w:rFonts w:ascii="Lato" w:hAnsi="Lato" w:cs="Arial"/>
        </w:rPr>
        <w:t xml:space="preserve">Tender Committee </w:t>
      </w:r>
    </w:p>
    <w:p>
      <w:pPr>
        <w:spacing w:after="0" w:line="276" w:lineRule="auto"/>
        <w:rPr>
          <w:rFonts w:ascii="Lato" w:hAnsi="Lato" w:cs="Arial"/>
        </w:rPr>
      </w:pPr>
      <w:r>
        <w:rPr>
          <w:rFonts w:ascii="Lato" w:hAnsi="Lato" w:cs="Arial"/>
        </w:rPr>
        <w:t>Save the Children International</w:t>
      </w:r>
    </w:p>
    <w:sectPr>
      <w:footerReference r:id="rId5" w:type="default"/>
      <w:pgSz w:w="11906" w:h="16838"/>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ato">
    <w:panose1 w:val="020F0502020204030203"/>
    <w:charset w:val="00"/>
    <w:family w:val="swiss"/>
    <w:pitch w:val="default"/>
    <w:sig w:usb0="A00000AF" w:usb1="5000604B" w:usb2="00000000" w:usb3="00000000" w:csb0="20000093"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t>Tender Notice SC-PR-12a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7132D"/>
    <w:multiLevelType w:val="multilevel"/>
    <w:tmpl w:val="24D713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5C9672E"/>
    <w:multiLevelType w:val="multilevel"/>
    <w:tmpl w:val="75C967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08"/>
    <w:rsid w:val="00021638"/>
    <w:rsid w:val="0003334A"/>
    <w:rsid w:val="00060CD6"/>
    <w:rsid w:val="000631BB"/>
    <w:rsid w:val="00064B20"/>
    <w:rsid w:val="00064EA2"/>
    <w:rsid w:val="00095443"/>
    <w:rsid w:val="000B1763"/>
    <w:rsid w:val="000E0F95"/>
    <w:rsid w:val="00122D17"/>
    <w:rsid w:val="00135B6F"/>
    <w:rsid w:val="00142BB2"/>
    <w:rsid w:val="001478E3"/>
    <w:rsid w:val="00177651"/>
    <w:rsid w:val="0018456E"/>
    <w:rsid w:val="0018772C"/>
    <w:rsid w:val="00192E4A"/>
    <w:rsid w:val="001A3BF1"/>
    <w:rsid w:val="001C3086"/>
    <w:rsid w:val="001C5467"/>
    <w:rsid w:val="001D7708"/>
    <w:rsid w:val="001E5A47"/>
    <w:rsid w:val="001E5EC5"/>
    <w:rsid w:val="001F62B5"/>
    <w:rsid w:val="002253B0"/>
    <w:rsid w:val="00241559"/>
    <w:rsid w:val="00253907"/>
    <w:rsid w:val="0027773C"/>
    <w:rsid w:val="00296B01"/>
    <w:rsid w:val="002A23EC"/>
    <w:rsid w:val="002C4A31"/>
    <w:rsid w:val="002D084E"/>
    <w:rsid w:val="002D6607"/>
    <w:rsid w:val="00307303"/>
    <w:rsid w:val="00317C87"/>
    <w:rsid w:val="003267AD"/>
    <w:rsid w:val="00334F26"/>
    <w:rsid w:val="00337FFC"/>
    <w:rsid w:val="00345419"/>
    <w:rsid w:val="00354541"/>
    <w:rsid w:val="003616F9"/>
    <w:rsid w:val="00374C81"/>
    <w:rsid w:val="0039169A"/>
    <w:rsid w:val="003940E4"/>
    <w:rsid w:val="003A263B"/>
    <w:rsid w:val="003A619F"/>
    <w:rsid w:val="003C662E"/>
    <w:rsid w:val="003E69AA"/>
    <w:rsid w:val="003F3290"/>
    <w:rsid w:val="003F3876"/>
    <w:rsid w:val="003F76D6"/>
    <w:rsid w:val="00410132"/>
    <w:rsid w:val="0041535B"/>
    <w:rsid w:val="00417D26"/>
    <w:rsid w:val="00422BCC"/>
    <w:rsid w:val="00443784"/>
    <w:rsid w:val="00476C4C"/>
    <w:rsid w:val="0049200C"/>
    <w:rsid w:val="00495DC8"/>
    <w:rsid w:val="004A7790"/>
    <w:rsid w:val="004C781F"/>
    <w:rsid w:val="00505F46"/>
    <w:rsid w:val="00515D4A"/>
    <w:rsid w:val="005318D3"/>
    <w:rsid w:val="0054717C"/>
    <w:rsid w:val="00576D7D"/>
    <w:rsid w:val="0058557F"/>
    <w:rsid w:val="00592370"/>
    <w:rsid w:val="005970C8"/>
    <w:rsid w:val="005B4580"/>
    <w:rsid w:val="005B7886"/>
    <w:rsid w:val="00611059"/>
    <w:rsid w:val="00626F67"/>
    <w:rsid w:val="00651EAF"/>
    <w:rsid w:val="00656D20"/>
    <w:rsid w:val="006C57DE"/>
    <w:rsid w:val="006C5F8D"/>
    <w:rsid w:val="006F40B7"/>
    <w:rsid w:val="006F6ED6"/>
    <w:rsid w:val="00700CC1"/>
    <w:rsid w:val="0071457F"/>
    <w:rsid w:val="00720623"/>
    <w:rsid w:val="00741CE9"/>
    <w:rsid w:val="00743EB7"/>
    <w:rsid w:val="00761119"/>
    <w:rsid w:val="00770D19"/>
    <w:rsid w:val="00771B40"/>
    <w:rsid w:val="00786BAE"/>
    <w:rsid w:val="007C0CD6"/>
    <w:rsid w:val="007E1C9E"/>
    <w:rsid w:val="007E57F1"/>
    <w:rsid w:val="007F0740"/>
    <w:rsid w:val="007F0B72"/>
    <w:rsid w:val="00807025"/>
    <w:rsid w:val="00824621"/>
    <w:rsid w:val="00826072"/>
    <w:rsid w:val="00830174"/>
    <w:rsid w:val="00850777"/>
    <w:rsid w:val="0087090E"/>
    <w:rsid w:val="008974C7"/>
    <w:rsid w:val="008C7857"/>
    <w:rsid w:val="008D17AD"/>
    <w:rsid w:val="008E02D5"/>
    <w:rsid w:val="008F19AC"/>
    <w:rsid w:val="008F38EB"/>
    <w:rsid w:val="00903602"/>
    <w:rsid w:val="009048EC"/>
    <w:rsid w:val="00905ED8"/>
    <w:rsid w:val="00907039"/>
    <w:rsid w:val="00916A7E"/>
    <w:rsid w:val="00931555"/>
    <w:rsid w:val="00933E70"/>
    <w:rsid w:val="00942D4D"/>
    <w:rsid w:val="0096403C"/>
    <w:rsid w:val="00965379"/>
    <w:rsid w:val="00977BE8"/>
    <w:rsid w:val="009A5EC1"/>
    <w:rsid w:val="009D0D0F"/>
    <w:rsid w:val="009E6DC3"/>
    <w:rsid w:val="009F3CE0"/>
    <w:rsid w:val="009F62F1"/>
    <w:rsid w:val="00A1659F"/>
    <w:rsid w:val="00A37479"/>
    <w:rsid w:val="00A7219A"/>
    <w:rsid w:val="00A75C4A"/>
    <w:rsid w:val="00A87625"/>
    <w:rsid w:val="00B04A6B"/>
    <w:rsid w:val="00B14535"/>
    <w:rsid w:val="00B152D0"/>
    <w:rsid w:val="00B221BC"/>
    <w:rsid w:val="00B421EE"/>
    <w:rsid w:val="00B51330"/>
    <w:rsid w:val="00B80E52"/>
    <w:rsid w:val="00B87896"/>
    <w:rsid w:val="00BB4CA1"/>
    <w:rsid w:val="00BB527B"/>
    <w:rsid w:val="00BD5BD6"/>
    <w:rsid w:val="00BF4FBB"/>
    <w:rsid w:val="00C24174"/>
    <w:rsid w:val="00C27A03"/>
    <w:rsid w:val="00C30B67"/>
    <w:rsid w:val="00C3416E"/>
    <w:rsid w:val="00C37484"/>
    <w:rsid w:val="00C517A7"/>
    <w:rsid w:val="00C602C4"/>
    <w:rsid w:val="00C60378"/>
    <w:rsid w:val="00C6084A"/>
    <w:rsid w:val="00C84CE1"/>
    <w:rsid w:val="00CB6D57"/>
    <w:rsid w:val="00CE53B0"/>
    <w:rsid w:val="00CF14A3"/>
    <w:rsid w:val="00CF55FC"/>
    <w:rsid w:val="00D00F1F"/>
    <w:rsid w:val="00D03381"/>
    <w:rsid w:val="00D061DF"/>
    <w:rsid w:val="00D11213"/>
    <w:rsid w:val="00D3461F"/>
    <w:rsid w:val="00D4565D"/>
    <w:rsid w:val="00D671C3"/>
    <w:rsid w:val="00D70714"/>
    <w:rsid w:val="00D726E4"/>
    <w:rsid w:val="00D7586E"/>
    <w:rsid w:val="00D82B5E"/>
    <w:rsid w:val="00D949E9"/>
    <w:rsid w:val="00DC70F4"/>
    <w:rsid w:val="00DD3723"/>
    <w:rsid w:val="00DF4655"/>
    <w:rsid w:val="00E15EFE"/>
    <w:rsid w:val="00E179E3"/>
    <w:rsid w:val="00E460FB"/>
    <w:rsid w:val="00E61DE0"/>
    <w:rsid w:val="00E66B39"/>
    <w:rsid w:val="00E71F00"/>
    <w:rsid w:val="00E72F86"/>
    <w:rsid w:val="00EB0554"/>
    <w:rsid w:val="00ED4D58"/>
    <w:rsid w:val="00F270EC"/>
    <w:rsid w:val="00F27DA4"/>
    <w:rsid w:val="00F32D5C"/>
    <w:rsid w:val="00F3513D"/>
    <w:rsid w:val="00F46CE3"/>
    <w:rsid w:val="00F512AB"/>
    <w:rsid w:val="00F706F1"/>
    <w:rsid w:val="00F969B7"/>
    <w:rsid w:val="00FB010E"/>
    <w:rsid w:val="00FB674A"/>
    <w:rsid w:val="00FC0EB4"/>
    <w:rsid w:val="00FE22D9"/>
    <w:rsid w:val="00FE55E1"/>
    <w:rsid w:val="4CB7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eastAsia="Times New Roman" w:cs="Times New Roman"/>
      <w:kern w:val="16"/>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qFormat/>
    <w:uiPriority w:val="0"/>
    <w:pPr>
      <w:spacing w:after="0" w:line="240" w:lineRule="auto"/>
    </w:pPr>
    <w:rPr>
      <w:rFonts w:ascii="Tahoma" w:hAnsi="Tahoma" w:cs="Tahoma"/>
      <w:sz w:val="16"/>
      <w:szCs w:val="16"/>
    </w:rPr>
  </w:style>
  <w:style w:type="paragraph" w:styleId="5">
    <w:name w:val="Body Text"/>
    <w:basedOn w:val="1"/>
    <w:link w:val="14"/>
    <w:qFormat/>
    <w:uiPriority w:val="1"/>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1" w:hanging="1"/>
      <w:jc w:val="left"/>
    </w:pPr>
    <w:rPr>
      <w:rFonts w:ascii="Calibri" w:hAnsi="Calibri" w:eastAsia="Calibri" w:cstheme="minorBidi"/>
      <w:kern w:val="0"/>
      <w:sz w:val="22"/>
      <w:szCs w:val="22"/>
      <w:lang w:val="en-US" w:eastAsia="en-US"/>
    </w:rPr>
  </w:style>
  <w:style w:type="paragraph" w:styleId="6">
    <w:name w:val="footer"/>
    <w:basedOn w:val="1"/>
    <w:link w:val="10"/>
    <w:uiPriority w:val="99"/>
    <w:pPr>
      <w:tabs>
        <w:tab w:val="center" w:pos="4153"/>
        <w:tab w:val="right" w:pos="8306"/>
        <w:tab w:val="clear" w:pos="709"/>
        <w:tab w:val="clear" w:pos="1418"/>
        <w:tab w:val="clear" w:pos="2126"/>
        <w:tab w:val="clear" w:pos="2835"/>
        <w:tab w:val="clear" w:pos="3544"/>
        <w:tab w:val="clear" w:pos="4253"/>
        <w:tab w:val="clear" w:pos="4961"/>
        <w:tab w:val="clear" w:pos="5670"/>
        <w:tab w:val="clear" w:pos="8363"/>
      </w:tabs>
    </w:pPr>
  </w:style>
  <w:style w:type="paragraph" w:styleId="7">
    <w:name w:val="header"/>
    <w:basedOn w:val="1"/>
    <w:uiPriority w:val="0"/>
    <w:pPr>
      <w:tabs>
        <w:tab w:val="center" w:pos="4153"/>
        <w:tab w:val="right" w:pos="8306"/>
        <w:tab w:val="clear" w:pos="709"/>
        <w:tab w:val="clear" w:pos="1418"/>
        <w:tab w:val="clear" w:pos="2126"/>
        <w:tab w:val="clear" w:pos="2835"/>
        <w:tab w:val="clear" w:pos="3544"/>
        <w:tab w:val="clear" w:pos="4253"/>
        <w:tab w:val="clear" w:pos="4961"/>
        <w:tab w:val="clear" w:pos="5670"/>
        <w:tab w:val="clear" w:pos="8363"/>
      </w:tabs>
    </w:pPr>
  </w:style>
  <w:style w:type="character" w:styleId="8">
    <w:name w:val="Hyperlink"/>
    <w:qFormat/>
    <w:uiPriority w:val="99"/>
    <w:rPr>
      <w:rFonts w:ascii="Arial" w:hAnsi="Arial"/>
      <w:color w:val="0000FF"/>
      <w:u w:val="single"/>
    </w:rPr>
  </w:style>
  <w:style w:type="paragraph" w:styleId="9">
    <w:name w:val="List Number"/>
    <w:basedOn w:val="1"/>
    <w:qFormat/>
    <w:uiPriority w:val="0"/>
    <w:pPr>
      <w:ind w:left="283" w:hanging="283"/>
    </w:pPr>
  </w:style>
  <w:style w:type="character" w:customStyle="1" w:styleId="10">
    <w:name w:val="Footer Char"/>
    <w:basedOn w:val="2"/>
    <w:link w:val="6"/>
    <w:qFormat/>
    <w:uiPriority w:val="99"/>
    <w:rPr>
      <w:rFonts w:ascii="Arial" w:hAnsi="Arial"/>
      <w:kern w:val="16"/>
      <w:lang w:eastAsia="zh-CN"/>
    </w:rPr>
  </w:style>
  <w:style w:type="character" w:customStyle="1" w:styleId="11">
    <w:name w:val="Balloon Text Char"/>
    <w:basedOn w:val="2"/>
    <w:link w:val="4"/>
    <w:qFormat/>
    <w:uiPriority w:val="0"/>
    <w:rPr>
      <w:rFonts w:ascii="Tahoma" w:hAnsi="Tahoma" w:cs="Tahoma"/>
      <w:kern w:val="16"/>
      <w:sz w:val="16"/>
      <w:szCs w:val="16"/>
      <w:lang w:eastAsia="zh-CN"/>
    </w:rPr>
  </w:style>
  <w:style w:type="paragraph" w:styleId="12">
    <w:name w:val="List Paragraph"/>
    <w:basedOn w:val="1"/>
    <w:qFormat/>
    <w:uiPriority w:val="34"/>
    <w:pPr>
      <w:ind w:left="720"/>
      <w:contextualSpacing/>
    </w:pPr>
  </w:style>
  <w:style w:type="character" w:customStyle="1" w:styleId="13">
    <w:name w:val="Unresolved Mention1"/>
    <w:basedOn w:val="2"/>
    <w:semiHidden/>
    <w:unhideWhenUsed/>
    <w:qFormat/>
    <w:uiPriority w:val="99"/>
    <w:rPr>
      <w:color w:val="605E5C"/>
      <w:shd w:val="clear" w:color="auto" w:fill="E1DFDD"/>
    </w:rPr>
  </w:style>
  <w:style w:type="character" w:customStyle="1" w:styleId="14">
    <w:name w:val="Body Text Char"/>
    <w:basedOn w:val="2"/>
    <w:link w:val="5"/>
    <w:uiPriority w:val="1"/>
    <w:rPr>
      <w:rFonts w:ascii="Calibri" w:hAnsi="Calibri" w:eastAsia="Calibri" w:cstheme="minorBidi"/>
      <w:sz w:val="22"/>
      <w:szCs w:val="2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cc77940c-cdb1-46ad-b44b-c0eb823e73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D5222A1145C34A980266FF47B5CE84" ma:contentTypeVersion="15" ma:contentTypeDescription="Create a new document." ma:contentTypeScope="" ma:versionID="262bbedc983400b37df53566dff43c0a">
  <xsd:schema xmlns:xsd="http://www.w3.org/2001/XMLSchema" xmlns:xs="http://www.w3.org/2001/XMLSchema" xmlns:p="http://schemas.microsoft.com/office/2006/metadata/properties" xmlns:ns3="cc77940c-cdb1-46ad-b44b-c0eb823e73c7" xmlns:ns4="b015b3bc-5f92-4e69-8723-e20ea617f2b7" targetNamespace="http://schemas.microsoft.com/office/2006/metadata/properties" ma:root="true" ma:fieldsID="a6063c04e3797610e79c4b4452ec223a" ns3:_="" ns4:_="">
    <xsd:import namespace="cc77940c-cdb1-46ad-b44b-c0eb823e73c7"/>
    <xsd:import namespace="b015b3bc-5f92-4e69-8723-e20ea617f2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940c-cdb1-46ad-b44b-c0eb823e7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5b3bc-5f92-4e69-8723-e20ea617f2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2FF03-2019-45AF-8E6A-830C2B8CE2AF}">
  <ds:schemaRefs/>
</ds:datastoreItem>
</file>

<file path=customXml/itemProps2.xml><?xml version="1.0" encoding="utf-8"?>
<ds:datastoreItem xmlns:ds="http://schemas.openxmlformats.org/officeDocument/2006/customXml" ds:itemID="{E7CB78E0-2333-4E65-B841-AA626F83C9A4}">
  <ds:schemaRefs/>
</ds:datastoreItem>
</file>

<file path=customXml/itemProps3.xml><?xml version="1.0" encoding="utf-8"?>
<ds:datastoreItem xmlns:ds="http://schemas.openxmlformats.org/officeDocument/2006/customXml" ds:itemID="{0AAA0E07-E8EE-4352-9D3D-6519191F0363}">
  <ds:schemaRefs/>
</ds:datastoreItem>
</file>

<file path=customXml/itemProps4.xml><?xml version="1.0" encoding="utf-8"?>
<ds:datastoreItem xmlns:ds="http://schemas.openxmlformats.org/officeDocument/2006/customXml" ds:itemID="{97A6D989-4E00-44DA-9524-6D052756F073}">
  <ds:schemaRefs/>
</ds:datastoreItem>
</file>

<file path=docProps/app.xml><?xml version="1.0" encoding="utf-8"?>
<Properties xmlns="http://schemas.openxmlformats.org/officeDocument/2006/extended-properties" xmlns:vt="http://schemas.openxmlformats.org/officeDocument/2006/docPropsVTypes">
  <Template>Normal</Template>
  <Company>Save the Children</Company>
  <Pages>1</Pages>
  <Words>339</Words>
  <Characters>1936</Characters>
  <Lines>16</Lines>
  <Paragraphs>4</Paragraphs>
  <TotalTime>15</TotalTime>
  <ScaleCrop>false</ScaleCrop>
  <LinksUpToDate>false</LinksUpToDate>
  <CharactersWithSpaces>2271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2023-07-11T15:06:00Z</dcterms:created>
  <dc:creator>LMiller</dc:creator>
  <cp:lastModifiedBy>I.Robert1</cp:lastModifiedBy>
  <dcterms:modified xsi:type="dcterms:W3CDTF">2024-02-05T13:30:13Z</dcterms:modified>
  <dc:title>The Save the Children Fund (SCUK) is inviting submissions of tenders for a contract to provide long-lasting insecticidal mosquito nets</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0x0101007FD5222A1145C34A980266FF47B5CE84</vt:lpwstr>
  </property>
  <property fmtid="{D5CDD505-2E9C-101B-9397-08002B2CF9AE}" pid="3" name="Order">
    <vt:r8>43300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KSOProductBuildVer">
    <vt:lpwstr>1033-12.2.0.13431</vt:lpwstr>
  </property>
  <property fmtid="{D5CDD505-2E9C-101B-9397-08002B2CF9AE}" pid="16" name="ICV">
    <vt:lpwstr>36779FB7790648CFAB102929EF78D244_12</vt:lpwstr>
  </property>
</Properties>
</file>