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26061" w:rsidRPr="00DE64F8" w14:paraId="5940CBB8" w14:textId="77777777" w:rsidTr="00547CEE">
        <w:trPr>
          <w:trHeight w:val="282"/>
        </w:trPr>
        <w:tc>
          <w:tcPr>
            <w:tcW w:w="9180" w:type="dxa"/>
            <w:shd w:val="clear" w:color="auto" w:fill="93D300"/>
          </w:tcPr>
          <w:p w14:paraId="37A53DCE" w14:textId="2BC2C8EE" w:rsidR="00226061" w:rsidRPr="00DE64F8" w:rsidRDefault="00226061" w:rsidP="00A53631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>
              <w:rPr>
                <w:rFonts w:ascii="Arial" w:eastAsia="MS Mincho" w:hAnsi="Arial" w:cs="Arial"/>
                <w:b/>
                <w:color w:val="FFFFFF"/>
                <w:sz w:val="32"/>
                <w:szCs w:val="36"/>
                <w:lang w:val="en-AU"/>
              </w:rPr>
              <w:t xml:space="preserve">INVITATION TO TENDER </w:t>
            </w:r>
          </w:p>
        </w:tc>
      </w:tr>
    </w:tbl>
    <w:p w14:paraId="25D4416A" w14:textId="6AA318BE" w:rsidR="00226061" w:rsidRDefault="00547CEE" w:rsidP="0022606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  <w:r w:rsidRPr="00430EA5">
        <w:rPr>
          <w:rFonts w:ascii="Calibri" w:eastAsia="MS Mincho" w:hAnsi="Calibri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F9CF21" wp14:editId="2A2513B7">
            <wp:simplePos x="0" y="0"/>
            <wp:positionH relativeFrom="page">
              <wp:posOffset>5092700</wp:posOffset>
            </wp:positionH>
            <wp:positionV relativeFrom="paragraph">
              <wp:posOffset>-1583369</wp:posOffset>
            </wp:positionV>
            <wp:extent cx="1938655" cy="1116957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11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E44BE" w14:textId="77777777" w:rsidR="00226061" w:rsidRPr="004E7FB6" w:rsidRDefault="00226061" w:rsidP="00226061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4E7FB6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t>Background</w:t>
      </w:r>
    </w:p>
    <w:p w14:paraId="1C000092" w14:textId="77777777" w:rsidR="00226061" w:rsidRPr="004E7FB6" w:rsidRDefault="00226061" w:rsidP="00226061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4E7FB6">
        <w:rPr>
          <w:rFonts w:eastAsia="MS Mincho" w:cstheme="minorHAnsi"/>
          <w:sz w:val="20"/>
          <w:szCs w:val="20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4722A8D2" w14:textId="77777777" w:rsidR="00226061" w:rsidRPr="004E7FB6" w:rsidRDefault="00226061" w:rsidP="00226061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17B35A95" w14:textId="77777777" w:rsidR="00226061" w:rsidRDefault="00226061" w:rsidP="00226061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4E7FB6">
        <w:rPr>
          <w:rFonts w:eastAsia="MS Mincho" w:cstheme="minorHAnsi"/>
          <w:sz w:val="20"/>
          <w:szCs w:val="20"/>
          <w:lang w:val="en-US"/>
        </w:rPr>
        <w:t>The organization is calling for quotations from reputable companies for provision of</w:t>
      </w:r>
      <w:r>
        <w:rPr>
          <w:rFonts w:eastAsia="MS Mincho" w:cstheme="minorHAnsi"/>
          <w:sz w:val="20"/>
          <w:szCs w:val="20"/>
          <w:lang w:val="en-US"/>
        </w:rPr>
        <w:t xml:space="preserve"> </w:t>
      </w:r>
      <w:proofErr w:type="gramStart"/>
      <w:r>
        <w:rPr>
          <w:rFonts w:eastAsia="MS Mincho" w:cstheme="minorHAnsi"/>
          <w:sz w:val="20"/>
          <w:szCs w:val="20"/>
          <w:lang w:val="en-US"/>
        </w:rPr>
        <w:t>casuals</w:t>
      </w:r>
      <w:proofErr w:type="gramEnd"/>
      <w:r>
        <w:rPr>
          <w:rFonts w:eastAsia="MS Mincho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eastAsia="MS Mincho" w:cstheme="minorHAnsi"/>
          <w:sz w:val="20"/>
          <w:szCs w:val="20"/>
          <w:lang w:val="en-US"/>
        </w:rPr>
        <w:t>labourers’</w:t>
      </w:r>
      <w:proofErr w:type="spellEnd"/>
      <w:r>
        <w:rPr>
          <w:rFonts w:eastAsia="MS Mincho" w:cstheme="minorHAnsi"/>
          <w:sz w:val="20"/>
          <w:szCs w:val="20"/>
          <w:lang w:val="en-US"/>
        </w:rPr>
        <w:t xml:space="preserve"> management services at all AAHI warehouses in Maban, </w:t>
      </w:r>
      <w:proofErr w:type="spellStart"/>
      <w:r>
        <w:rPr>
          <w:rFonts w:eastAsia="MS Mincho" w:cstheme="minorHAnsi"/>
          <w:sz w:val="20"/>
          <w:szCs w:val="20"/>
          <w:lang w:val="en-US"/>
        </w:rPr>
        <w:t>Jamjang</w:t>
      </w:r>
      <w:proofErr w:type="spellEnd"/>
      <w:r>
        <w:rPr>
          <w:rFonts w:eastAsia="MS Mincho" w:cstheme="minorHAnsi"/>
          <w:sz w:val="20"/>
          <w:szCs w:val="20"/>
          <w:lang w:val="en-US"/>
        </w:rPr>
        <w:t>, Juba, Wau, Yambio and Yei as per the following truck capacity and also arranging materials in the warehouse.</w:t>
      </w:r>
    </w:p>
    <w:p w14:paraId="56A6B4E2" w14:textId="77777777" w:rsidR="00226061" w:rsidRDefault="00226061" w:rsidP="00226061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0"/>
        <w:gridCol w:w="1260"/>
        <w:gridCol w:w="1080"/>
      </w:tblGrid>
      <w:tr w:rsidR="00226061" w14:paraId="37332665" w14:textId="77777777" w:rsidTr="00A53631">
        <w:tc>
          <w:tcPr>
            <w:tcW w:w="535" w:type="dxa"/>
            <w:shd w:val="clear" w:color="auto" w:fill="A6A6A6" w:themeFill="background1" w:themeFillShade="A6"/>
          </w:tcPr>
          <w:p w14:paraId="54762921" w14:textId="77777777" w:rsidR="00226061" w:rsidRPr="0003213C" w:rsidRDefault="00226061" w:rsidP="00A53631">
            <w:pPr>
              <w:jc w:val="both"/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</w:pPr>
            <w:r w:rsidRPr="0003213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3600" w:type="dxa"/>
            <w:shd w:val="clear" w:color="auto" w:fill="A6A6A6" w:themeFill="background1" w:themeFillShade="A6"/>
          </w:tcPr>
          <w:p w14:paraId="5414A776" w14:textId="77777777" w:rsidR="00226061" w:rsidRPr="0003213C" w:rsidRDefault="00226061" w:rsidP="00A53631">
            <w:pPr>
              <w:jc w:val="both"/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</w:pPr>
            <w:r w:rsidRPr="0003213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376936DB" w14:textId="77777777" w:rsidR="00226061" w:rsidRPr="0003213C" w:rsidRDefault="00226061" w:rsidP="00A53631">
            <w:pPr>
              <w:jc w:val="both"/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</w:pPr>
            <w:r w:rsidRPr="0003213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Capacity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5A6A32FE" w14:textId="77777777" w:rsidR="00226061" w:rsidRPr="0003213C" w:rsidRDefault="00226061" w:rsidP="00A53631">
            <w:pPr>
              <w:jc w:val="both"/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</w:pPr>
            <w:r w:rsidRPr="0003213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Qty</w:t>
            </w:r>
          </w:p>
        </w:tc>
      </w:tr>
      <w:tr w:rsidR="00226061" w14:paraId="0498A507" w14:textId="77777777" w:rsidTr="00A53631">
        <w:tc>
          <w:tcPr>
            <w:tcW w:w="535" w:type="dxa"/>
          </w:tcPr>
          <w:p w14:paraId="4054CEA7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600" w:type="dxa"/>
          </w:tcPr>
          <w:p w14:paraId="1088ADF8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Offloading/loading truck</w:t>
            </w:r>
          </w:p>
        </w:tc>
        <w:tc>
          <w:tcPr>
            <w:tcW w:w="1260" w:type="dxa"/>
          </w:tcPr>
          <w:p w14:paraId="6686B9A4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7 ton</w:t>
            </w:r>
          </w:p>
        </w:tc>
        <w:tc>
          <w:tcPr>
            <w:tcW w:w="1080" w:type="dxa"/>
          </w:tcPr>
          <w:p w14:paraId="598CAB68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1</w:t>
            </w:r>
          </w:p>
        </w:tc>
      </w:tr>
      <w:tr w:rsidR="00226061" w14:paraId="05D6E762" w14:textId="77777777" w:rsidTr="00A53631">
        <w:tc>
          <w:tcPr>
            <w:tcW w:w="535" w:type="dxa"/>
          </w:tcPr>
          <w:p w14:paraId="6EFFB4C3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600" w:type="dxa"/>
          </w:tcPr>
          <w:p w14:paraId="62C69805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Offloading/loading truck</w:t>
            </w:r>
          </w:p>
        </w:tc>
        <w:tc>
          <w:tcPr>
            <w:tcW w:w="1260" w:type="dxa"/>
          </w:tcPr>
          <w:p w14:paraId="77C2E954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12 ton</w:t>
            </w:r>
          </w:p>
        </w:tc>
        <w:tc>
          <w:tcPr>
            <w:tcW w:w="1080" w:type="dxa"/>
          </w:tcPr>
          <w:p w14:paraId="0B7E42D7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1</w:t>
            </w:r>
          </w:p>
        </w:tc>
      </w:tr>
      <w:tr w:rsidR="00226061" w14:paraId="3FC431B3" w14:textId="77777777" w:rsidTr="00A53631">
        <w:tc>
          <w:tcPr>
            <w:tcW w:w="535" w:type="dxa"/>
          </w:tcPr>
          <w:p w14:paraId="207753B3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600" w:type="dxa"/>
          </w:tcPr>
          <w:p w14:paraId="1CD2BD3E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Offloading/loading truck</w:t>
            </w:r>
          </w:p>
        </w:tc>
        <w:tc>
          <w:tcPr>
            <w:tcW w:w="1260" w:type="dxa"/>
          </w:tcPr>
          <w:p w14:paraId="5BB2A460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15 ton</w:t>
            </w:r>
          </w:p>
        </w:tc>
        <w:tc>
          <w:tcPr>
            <w:tcW w:w="1080" w:type="dxa"/>
          </w:tcPr>
          <w:p w14:paraId="6F58E132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1</w:t>
            </w:r>
          </w:p>
        </w:tc>
      </w:tr>
      <w:tr w:rsidR="00226061" w14:paraId="4B3DEAD6" w14:textId="77777777" w:rsidTr="00A53631">
        <w:tc>
          <w:tcPr>
            <w:tcW w:w="535" w:type="dxa"/>
          </w:tcPr>
          <w:p w14:paraId="64B387A7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600" w:type="dxa"/>
          </w:tcPr>
          <w:p w14:paraId="5667F386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Offloading/loading truck</w:t>
            </w:r>
          </w:p>
        </w:tc>
        <w:tc>
          <w:tcPr>
            <w:tcW w:w="1260" w:type="dxa"/>
          </w:tcPr>
          <w:p w14:paraId="6CF63E0F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20 ton</w:t>
            </w:r>
          </w:p>
        </w:tc>
        <w:tc>
          <w:tcPr>
            <w:tcW w:w="1080" w:type="dxa"/>
          </w:tcPr>
          <w:p w14:paraId="3DB7B23F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1</w:t>
            </w:r>
          </w:p>
        </w:tc>
      </w:tr>
      <w:tr w:rsidR="00226061" w14:paraId="41219DA0" w14:textId="77777777" w:rsidTr="00A53631">
        <w:tc>
          <w:tcPr>
            <w:tcW w:w="535" w:type="dxa"/>
          </w:tcPr>
          <w:p w14:paraId="2166E651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600" w:type="dxa"/>
          </w:tcPr>
          <w:p w14:paraId="039E6B59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Offloading/loading truck</w:t>
            </w:r>
          </w:p>
        </w:tc>
        <w:tc>
          <w:tcPr>
            <w:tcW w:w="1260" w:type="dxa"/>
          </w:tcPr>
          <w:p w14:paraId="6F88F877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25 ton</w:t>
            </w:r>
          </w:p>
        </w:tc>
        <w:tc>
          <w:tcPr>
            <w:tcW w:w="1080" w:type="dxa"/>
          </w:tcPr>
          <w:p w14:paraId="74B0E3D7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1</w:t>
            </w:r>
          </w:p>
        </w:tc>
      </w:tr>
      <w:tr w:rsidR="00226061" w14:paraId="65566E97" w14:textId="77777777" w:rsidTr="00A53631">
        <w:tc>
          <w:tcPr>
            <w:tcW w:w="535" w:type="dxa"/>
          </w:tcPr>
          <w:p w14:paraId="41A8D9F8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3600" w:type="dxa"/>
          </w:tcPr>
          <w:p w14:paraId="05BEC694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Offloading/loading truck</w:t>
            </w:r>
          </w:p>
        </w:tc>
        <w:tc>
          <w:tcPr>
            <w:tcW w:w="1260" w:type="dxa"/>
          </w:tcPr>
          <w:p w14:paraId="02D4DA2F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30 ton</w:t>
            </w:r>
          </w:p>
        </w:tc>
        <w:tc>
          <w:tcPr>
            <w:tcW w:w="1080" w:type="dxa"/>
          </w:tcPr>
          <w:p w14:paraId="3AC2FC50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1</w:t>
            </w:r>
          </w:p>
        </w:tc>
      </w:tr>
      <w:tr w:rsidR="00226061" w14:paraId="102C348D" w14:textId="77777777" w:rsidTr="00A53631">
        <w:tc>
          <w:tcPr>
            <w:tcW w:w="535" w:type="dxa"/>
          </w:tcPr>
          <w:p w14:paraId="3FDD8C6B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3600" w:type="dxa"/>
          </w:tcPr>
          <w:p w14:paraId="3160BE7D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Offloading/loading truck</w:t>
            </w:r>
          </w:p>
        </w:tc>
        <w:tc>
          <w:tcPr>
            <w:tcW w:w="1260" w:type="dxa"/>
          </w:tcPr>
          <w:p w14:paraId="67787E2D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35 ton</w:t>
            </w:r>
          </w:p>
        </w:tc>
        <w:tc>
          <w:tcPr>
            <w:tcW w:w="1080" w:type="dxa"/>
          </w:tcPr>
          <w:p w14:paraId="148D6A1A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1</w:t>
            </w:r>
          </w:p>
        </w:tc>
      </w:tr>
      <w:tr w:rsidR="00226061" w14:paraId="2AFB937E" w14:textId="77777777" w:rsidTr="00A53631">
        <w:tc>
          <w:tcPr>
            <w:tcW w:w="535" w:type="dxa"/>
          </w:tcPr>
          <w:p w14:paraId="0AE8B52E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3600" w:type="dxa"/>
          </w:tcPr>
          <w:p w14:paraId="1C7B62C8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Offloading/loading truck</w:t>
            </w:r>
          </w:p>
        </w:tc>
        <w:tc>
          <w:tcPr>
            <w:tcW w:w="1260" w:type="dxa"/>
          </w:tcPr>
          <w:p w14:paraId="4489478E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40 ton</w:t>
            </w:r>
          </w:p>
        </w:tc>
        <w:tc>
          <w:tcPr>
            <w:tcW w:w="1080" w:type="dxa"/>
          </w:tcPr>
          <w:p w14:paraId="618AF591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1</w:t>
            </w:r>
          </w:p>
        </w:tc>
      </w:tr>
      <w:tr w:rsidR="00226061" w14:paraId="6B0141BB" w14:textId="77777777" w:rsidTr="00A53631">
        <w:tc>
          <w:tcPr>
            <w:tcW w:w="535" w:type="dxa"/>
          </w:tcPr>
          <w:p w14:paraId="10561E1F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3600" w:type="dxa"/>
          </w:tcPr>
          <w:p w14:paraId="52CE3A77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 xml:space="preserve">Casual </w:t>
            </w:r>
            <w:proofErr w:type="gramStart"/>
            <w:r>
              <w:rPr>
                <w:rFonts w:eastAsia="MS Mincho" w:cstheme="minorHAnsi"/>
                <w:sz w:val="20"/>
                <w:szCs w:val="20"/>
                <w:lang w:val="en-US"/>
              </w:rPr>
              <w:t>laborer’s</w:t>
            </w:r>
            <w:proofErr w:type="gramEnd"/>
            <w:r>
              <w:rPr>
                <w:rFonts w:eastAsia="MS Mincho" w:cstheme="minorHAnsi"/>
                <w:sz w:val="20"/>
                <w:szCs w:val="20"/>
                <w:lang w:val="en-US"/>
              </w:rPr>
              <w:t xml:space="preserve"> on need basis</w:t>
            </w:r>
          </w:p>
        </w:tc>
        <w:tc>
          <w:tcPr>
            <w:tcW w:w="1260" w:type="dxa"/>
          </w:tcPr>
          <w:p w14:paraId="4CA5D1B4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Daily rate</w:t>
            </w:r>
          </w:p>
        </w:tc>
        <w:tc>
          <w:tcPr>
            <w:tcW w:w="1080" w:type="dxa"/>
          </w:tcPr>
          <w:p w14:paraId="106AC481" w14:textId="77777777" w:rsidR="00226061" w:rsidRDefault="00226061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1</w:t>
            </w:r>
          </w:p>
        </w:tc>
      </w:tr>
    </w:tbl>
    <w:p w14:paraId="2A439DF8" w14:textId="31F88FE4" w:rsidR="00226061" w:rsidRDefault="00226061" w:rsidP="00226061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27B4E5D6" w14:textId="60F63583" w:rsidR="00226061" w:rsidRPr="00547CEE" w:rsidRDefault="00226061" w:rsidP="00547CE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="MS Mincho" w:cstheme="minorHAnsi"/>
          <w:b/>
          <w:bCs/>
          <w:sz w:val="20"/>
          <w:szCs w:val="20"/>
        </w:rPr>
      </w:pPr>
      <w:r w:rsidRPr="00547CEE">
        <w:rPr>
          <w:rFonts w:eastAsia="MS Mincho" w:cstheme="minorHAnsi"/>
          <w:sz w:val="20"/>
          <w:szCs w:val="20"/>
        </w:rPr>
        <w:t xml:space="preserve">Deadline of submission is </w:t>
      </w:r>
      <w:r w:rsidRPr="00547CEE">
        <w:rPr>
          <w:rFonts w:eastAsia="MS Mincho" w:cstheme="minorHAnsi"/>
          <w:b/>
          <w:bCs/>
          <w:sz w:val="20"/>
          <w:szCs w:val="20"/>
        </w:rPr>
        <w:t>3</w:t>
      </w:r>
      <w:r w:rsidRPr="00547CEE">
        <w:rPr>
          <w:rFonts w:eastAsia="MS Mincho" w:cstheme="minorHAnsi"/>
          <w:b/>
          <w:bCs/>
          <w:sz w:val="20"/>
          <w:szCs w:val="20"/>
          <w:vertAlign w:val="superscript"/>
        </w:rPr>
        <w:t>rd</w:t>
      </w:r>
      <w:r w:rsidRPr="00547CEE">
        <w:rPr>
          <w:rFonts w:eastAsia="MS Mincho" w:cstheme="minorHAnsi"/>
          <w:b/>
          <w:bCs/>
          <w:sz w:val="20"/>
          <w:szCs w:val="20"/>
        </w:rPr>
        <w:t xml:space="preserve"> June, 2022</w:t>
      </w:r>
      <w:r w:rsidR="00547CEE">
        <w:rPr>
          <w:rFonts w:eastAsia="MS Mincho" w:cstheme="minorHAnsi"/>
          <w:b/>
          <w:bCs/>
          <w:sz w:val="20"/>
          <w:szCs w:val="20"/>
        </w:rPr>
        <w:t>.</w:t>
      </w:r>
    </w:p>
    <w:p w14:paraId="3D39ACC6" w14:textId="77777777" w:rsidR="00226061" w:rsidRDefault="00226061" w:rsidP="00547CEE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595B7679" w14:textId="5A006D30" w:rsidR="00226061" w:rsidRPr="00547CEE" w:rsidRDefault="00226061" w:rsidP="00547CE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="MS Mincho" w:cstheme="minorHAnsi"/>
          <w:sz w:val="20"/>
          <w:szCs w:val="20"/>
        </w:rPr>
      </w:pPr>
      <w:r w:rsidRPr="00547CEE">
        <w:rPr>
          <w:rFonts w:eastAsia="MS Mincho" w:cstheme="minorHAnsi"/>
          <w:sz w:val="20"/>
          <w:szCs w:val="20"/>
        </w:rPr>
        <w:t>Detailed tender document to be picked from AAHI Offices in the following locations:</w:t>
      </w:r>
    </w:p>
    <w:p w14:paraId="40BD1C6E" w14:textId="77777777" w:rsidR="00226061" w:rsidRDefault="00226061" w:rsidP="00226061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</w:p>
    <w:p w14:paraId="42795B61" w14:textId="028B9AC5" w:rsidR="00226061" w:rsidRPr="004E7FB6" w:rsidRDefault="00226061" w:rsidP="00226061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  <w:r w:rsidRPr="004E7FB6">
        <w:rPr>
          <w:rFonts w:eastAsia="MS Mincho" w:cstheme="minorHAnsi"/>
          <w:b/>
          <w:color w:val="222222"/>
          <w:sz w:val="20"/>
          <w:szCs w:val="20"/>
          <w:lang w:val="en-US"/>
        </w:rPr>
        <w:t>AAH-I/UNHCR Logistic Base, Juba South Sudan</w:t>
      </w:r>
    </w:p>
    <w:p w14:paraId="44B368F0" w14:textId="77777777" w:rsidR="00226061" w:rsidRPr="004E7FB6" w:rsidRDefault="00226061" w:rsidP="00226061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  <w:r w:rsidRPr="004E7FB6">
        <w:rPr>
          <w:rFonts w:eastAsia="MS Mincho" w:cstheme="minorHAnsi"/>
          <w:b/>
          <w:color w:val="222222"/>
          <w:sz w:val="20"/>
          <w:szCs w:val="20"/>
          <w:lang w:val="en-US"/>
        </w:rPr>
        <w:t xml:space="preserve">Near JIT Supermarket, </w:t>
      </w:r>
    </w:p>
    <w:p w14:paraId="31CD8AB7" w14:textId="77777777" w:rsidR="00226061" w:rsidRPr="004E7FB6" w:rsidRDefault="00226061" w:rsidP="00226061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  <w:r w:rsidRPr="004E7FB6">
        <w:rPr>
          <w:rFonts w:eastAsia="MS Mincho" w:cstheme="minorHAnsi"/>
          <w:b/>
          <w:color w:val="222222"/>
          <w:sz w:val="20"/>
          <w:szCs w:val="20"/>
          <w:lang w:val="en-US"/>
        </w:rPr>
        <w:t xml:space="preserve">AAH-I South Sudan. </w:t>
      </w:r>
    </w:p>
    <w:p w14:paraId="354F6BEB" w14:textId="77777777" w:rsidR="00226061" w:rsidRDefault="00226061" w:rsidP="00226061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</w:p>
    <w:p w14:paraId="42EBDD41" w14:textId="77777777" w:rsidR="00226061" w:rsidRPr="004E7FB6" w:rsidRDefault="00226061" w:rsidP="00226061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color w:val="222222"/>
          <w:sz w:val="20"/>
          <w:szCs w:val="20"/>
          <w:lang w:val="en-US"/>
        </w:rPr>
      </w:pPr>
      <w:r w:rsidRPr="004E7FB6">
        <w:rPr>
          <w:rFonts w:eastAsia="MS Mincho" w:cstheme="minorHAnsi"/>
          <w:color w:val="222222"/>
          <w:sz w:val="20"/>
          <w:szCs w:val="20"/>
          <w:lang w:val="en-US"/>
        </w:rPr>
        <w:t xml:space="preserve">OR </w:t>
      </w:r>
    </w:p>
    <w:p w14:paraId="6D93DA02" w14:textId="77777777" w:rsidR="00226061" w:rsidRPr="00B21990" w:rsidRDefault="00226061" w:rsidP="00226061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  <w:r w:rsidRPr="00B21990">
        <w:rPr>
          <w:rFonts w:eastAsia="MS Mincho" w:cstheme="minorHAnsi"/>
          <w:b/>
          <w:color w:val="222222"/>
          <w:sz w:val="20"/>
          <w:szCs w:val="20"/>
          <w:lang w:val="en-US"/>
        </w:rPr>
        <w:t xml:space="preserve">AAH-I </w:t>
      </w:r>
      <w:proofErr w:type="spellStart"/>
      <w:r w:rsidRPr="00B21990">
        <w:rPr>
          <w:rFonts w:eastAsia="MS Mincho" w:cstheme="minorHAnsi"/>
          <w:b/>
          <w:color w:val="222222"/>
          <w:sz w:val="20"/>
          <w:szCs w:val="20"/>
          <w:lang w:val="en-US"/>
        </w:rPr>
        <w:t>Jamjang</w:t>
      </w:r>
      <w:proofErr w:type="spellEnd"/>
      <w:r w:rsidRPr="00B21990">
        <w:rPr>
          <w:rFonts w:eastAsia="MS Mincho" w:cstheme="minorHAnsi"/>
          <w:b/>
          <w:color w:val="222222"/>
          <w:sz w:val="20"/>
          <w:szCs w:val="20"/>
          <w:lang w:val="en-US"/>
        </w:rPr>
        <w:t xml:space="preserve"> Office</w:t>
      </w:r>
    </w:p>
    <w:p w14:paraId="5C1F5EEF" w14:textId="77777777" w:rsidR="00226061" w:rsidRPr="00B21990" w:rsidRDefault="00226061" w:rsidP="00226061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  <w:proofErr w:type="spellStart"/>
      <w:r w:rsidRPr="00B21990">
        <w:rPr>
          <w:rFonts w:eastAsia="MS Mincho" w:cstheme="minorHAnsi"/>
          <w:b/>
          <w:color w:val="222222"/>
          <w:sz w:val="20"/>
          <w:szCs w:val="20"/>
          <w:lang w:val="en-US"/>
        </w:rPr>
        <w:t>Jamjang</w:t>
      </w:r>
      <w:proofErr w:type="spellEnd"/>
      <w:r w:rsidRPr="00B21990">
        <w:rPr>
          <w:rFonts w:eastAsia="MS Mincho" w:cstheme="minorHAnsi"/>
          <w:b/>
          <w:color w:val="222222"/>
          <w:sz w:val="20"/>
          <w:szCs w:val="20"/>
          <w:lang w:val="en-US"/>
        </w:rPr>
        <w:t xml:space="preserve"> Compound</w:t>
      </w:r>
    </w:p>
    <w:p w14:paraId="3A89D95B" w14:textId="77777777" w:rsidR="00226061" w:rsidRPr="00B21990" w:rsidRDefault="00226061" w:rsidP="00226061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  <w:proofErr w:type="spellStart"/>
      <w:r>
        <w:rPr>
          <w:rFonts w:eastAsia="MS Mincho" w:cstheme="minorHAnsi"/>
          <w:b/>
          <w:color w:val="222222"/>
          <w:sz w:val="20"/>
          <w:szCs w:val="20"/>
          <w:lang w:val="en-US"/>
        </w:rPr>
        <w:t>Jamjang</w:t>
      </w:r>
      <w:proofErr w:type="spellEnd"/>
      <w:r>
        <w:rPr>
          <w:rFonts w:eastAsia="MS Mincho" w:cstheme="minorHAnsi"/>
          <w:b/>
          <w:color w:val="222222"/>
          <w:sz w:val="20"/>
          <w:szCs w:val="20"/>
          <w:lang w:val="en-US"/>
        </w:rPr>
        <w:t xml:space="preserve"> </w:t>
      </w:r>
      <w:r w:rsidRPr="00B21990">
        <w:rPr>
          <w:rFonts w:eastAsia="MS Mincho" w:cstheme="minorHAnsi"/>
          <w:b/>
          <w:color w:val="222222"/>
          <w:sz w:val="20"/>
          <w:szCs w:val="20"/>
          <w:lang w:val="en-US"/>
        </w:rPr>
        <w:t>County</w:t>
      </w:r>
    </w:p>
    <w:p w14:paraId="55644C6D" w14:textId="77777777" w:rsidR="00226061" w:rsidRDefault="00226061" w:rsidP="00226061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  <w:proofErr w:type="spellStart"/>
      <w:r w:rsidRPr="00B21990">
        <w:rPr>
          <w:rFonts w:eastAsia="MS Mincho" w:cstheme="minorHAnsi"/>
          <w:b/>
          <w:color w:val="222222"/>
          <w:sz w:val="20"/>
          <w:szCs w:val="20"/>
          <w:lang w:val="en-US"/>
        </w:rPr>
        <w:t>Ruweng</w:t>
      </w:r>
      <w:proofErr w:type="spellEnd"/>
      <w:r w:rsidRPr="00B21990">
        <w:rPr>
          <w:rFonts w:eastAsia="MS Mincho" w:cstheme="minorHAnsi"/>
          <w:b/>
          <w:color w:val="222222"/>
          <w:sz w:val="20"/>
          <w:szCs w:val="20"/>
          <w:lang w:val="en-US"/>
        </w:rPr>
        <w:t xml:space="preserve"> </w:t>
      </w:r>
      <w:r>
        <w:rPr>
          <w:rFonts w:eastAsia="MS Mincho" w:cstheme="minorHAnsi"/>
          <w:b/>
          <w:color w:val="222222"/>
          <w:sz w:val="20"/>
          <w:szCs w:val="20"/>
          <w:lang w:val="en-US"/>
        </w:rPr>
        <w:t xml:space="preserve">Administrative Area </w:t>
      </w:r>
    </w:p>
    <w:p w14:paraId="03D4DFAC" w14:textId="77777777" w:rsidR="00226061" w:rsidRDefault="00226061" w:rsidP="00226061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</w:p>
    <w:p w14:paraId="18957672" w14:textId="77777777" w:rsidR="00226061" w:rsidRDefault="00226061" w:rsidP="00226061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  <w:r>
        <w:rPr>
          <w:rFonts w:eastAsia="MS Mincho" w:cstheme="minorHAnsi"/>
          <w:b/>
          <w:color w:val="222222"/>
          <w:sz w:val="20"/>
          <w:szCs w:val="20"/>
          <w:lang w:val="en-US"/>
        </w:rPr>
        <w:t>OR</w:t>
      </w:r>
    </w:p>
    <w:p w14:paraId="38EDA64B" w14:textId="77777777" w:rsidR="00226061" w:rsidRDefault="00226061" w:rsidP="00226061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  <w:r>
        <w:rPr>
          <w:rFonts w:eastAsia="MS Mincho" w:cstheme="minorHAnsi"/>
          <w:b/>
          <w:color w:val="222222"/>
          <w:sz w:val="20"/>
          <w:szCs w:val="20"/>
          <w:lang w:val="en-US"/>
        </w:rPr>
        <w:t>AAHI Maban Office</w:t>
      </w:r>
    </w:p>
    <w:p w14:paraId="10114B8A" w14:textId="77777777" w:rsidR="00226061" w:rsidRDefault="00226061" w:rsidP="00226061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  <w:proofErr w:type="spellStart"/>
      <w:r>
        <w:rPr>
          <w:rFonts w:eastAsia="MS Mincho" w:cstheme="minorHAnsi"/>
          <w:b/>
          <w:color w:val="222222"/>
          <w:sz w:val="20"/>
          <w:szCs w:val="20"/>
          <w:lang w:val="en-US"/>
        </w:rPr>
        <w:t>Bunj</w:t>
      </w:r>
      <w:proofErr w:type="spellEnd"/>
      <w:r>
        <w:rPr>
          <w:rFonts w:eastAsia="MS Mincho" w:cstheme="minorHAnsi"/>
          <w:b/>
          <w:color w:val="222222"/>
          <w:sz w:val="20"/>
          <w:szCs w:val="20"/>
          <w:lang w:val="en-US"/>
        </w:rPr>
        <w:t>.</w:t>
      </w:r>
    </w:p>
    <w:p w14:paraId="5D69A579" w14:textId="38FE0765" w:rsidR="00226061" w:rsidRDefault="00226061" w:rsidP="00226061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sectPr w:rsidR="00226061" w:rsidSect="004469EB">
      <w:headerReference w:type="default" r:id="rId8"/>
      <w:footerReference w:type="default" r:id="rId9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028D" w14:textId="77777777" w:rsidR="009C6F9D" w:rsidRDefault="009C6F9D" w:rsidP="00547CEE">
      <w:pPr>
        <w:spacing w:after="0" w:line="240" w:lineRule="auto"/>
      </w:pPr>
      <w:r>
        <w:separator/>
      </w:r>
    </w:p>
  </w:endnote>
  <w:endnote w:type="continuationSeparator" w:id="0">
    <w:p w14:paraId="705DEF2C" w14:textId="77777777" w:rsidR="009C6F9D" w:rsidRDefault="009C6F9D" w:rsidP="0054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3910" w14:textId="77777777" w:rsidR="004469EB" w:rsidRDefault="009C6F9D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E1183">
      <w:rPr>
        <w:rFonts w:asciiTheme="majorHAnsi" w:hAnsiTheme="majorHAnsi"/>
        <w:noProof/>
      </w:rPr>
      <w:t>3</w:t>
    </w:r>
    <w:r>
      <w:fldChar w:fldCharType="end"/>
    </w:r>
  </w:p>
  <w:p w14:paraId="60031338" w14:textId="77777777" w:rsidR="004469EB" w:rsidRDefault="009C6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90FB" w14:textId="77777777" w:rsidR="009C6F9D" w:rsidRDefault="009C6F9D" w:rsidP="00547CEE">
      <w:pPr>
        <w:spacing w:after="0" w:line="240" w:lineRule="auto"/>
      </w:pPr>
      <w:r>
        <w:separator/>
      </w:r>
    </w:p>
  </w:footnote>
  <w:footnote w:type="continuationSeparator" w:id="0">
    <w:p w14:paraId="3A288A9D" w14:textId="77777777" w:rsidR="009C6F9D" w:rsidRDefault="009C6F9D" w:rsidP="0054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70AA" w14:textId="11929A6B" w:rsidR="00547CEE" w:rsidRPr="0035144B" w:rsidRDefault="00547CEE" w:rsidP="00547CEE">
    <w:pPr>
      <w:spacing w:after="0" w:line="240" w:lineRule="auto"/>
      <w:ind w:left="-706" w:firstLine="706"/>
      <w:rPr>
        <w:rFonts w:ascii="Myriad Pro Light" w:hAnsi="Myriad Pro Light"/>
        <w:b/>
        <w:bCs/>
        <w:sz w:val="20"/>
        <w:szCs w:val="20"/>
      </w:rPr>
    </w:pPr>
    <w:r>
      <w:rPr>
        <w:rFonts w:ascii="Myriad Pro Light" w:hAnsi="Myriad Pro Light"/>
        <w:b/>
        <w:bCs/>
        <w:sz w:val="20"/>
        <w:szCs w:val="20"/>
      </w:rPr>
      <w:t>AAHI</w:t>
    </w:r>
    <w:r w:rsidRPr="0035144B">
      <w:rPr>
        <w:rFonts w:ascii="Myriad Pro Light" w:hAnsi="Myriad Pro Light"/>
        <w:b/>
        <w:bCs/>
        <w:sz w:val="20"/>
        <w:szCs w:val="20"/>
      </w:rPr>
      <w:t>-South Sudan</w:t>
    </w:r>
  </w:p>
  <w:p w14:paraId="66D5FA61" w14:textId="77777777" w:rsidR="00547CEE" w:rsidRDefault="00547CEE" w:rsidP="00547CEE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35144B">
      <w:rPr>
        <w:rFonts w:ascii="Myriad Pro Light" w:hAnsi="Myriad Pro Light"/>
        <w:b/>
        <w:bCs/>
        <w:sz w:val="20"/>
        <w:szCs w:val="20"/>
      </w:rPr>
      <w:t>Juba Office:</w:t>
    </w:r>
    <w:r w:rsidRPr="00026523">
      <w:rPr>
        <w:rFonts w:ascii="Myriad Pro Light" w:hAnsi="Myriad Pro Light"/>
        <w:sz w:val="20"/>
        <w:szCs w:val="20"/>
      </w:rPr>
      <w:t xml:space="preserve"> </w:t>
    </w:r>
    <w:r w:rsidRPr="006462AE">
      <w:rPr>
        <w:rFonts w:ascii="Myriad Pro Light" w:hAnsi="Myriad Pro Light"/>
        <w:b/>
        <w:sz w:val="18"/>
        <w:szCs w:val="18"/>
      </w:rPr>
      <w:t xml:space="preserve">Hai Gabat – </w:t>
    </w:r>
    <w:proofErr w:type="spellStart"/>
    <w:r w:rsidRPr="006462AE">
      <w:rPr>
        <w:rFonts w:ascii="Myriad Pro Light" w:hAnsi="Myriad Pro Light"/>
        <w:b/>
        <w:sz w:val="18"/>
        <w:szCs w:val="18"/>
      </w:rPr>
      <w:t>Opp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JIT Supermarket</w:t>
    </w:r>
  </w:p>
  <w:p w14:paraId="39F34629" w14:textId="77777777" w:rsidR="00547CEE" w:rsidRDefault="00547CEE" w:rsidP="00547CEE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14:paraId="44D77474" w14:textId="77777777" w:rsidR="00547CEE" w:rsidRDefault="00547CEE" w:rsidP="00547CEE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14:paraId="189B4CA7" w14:textId="77777777" w:rsidR="00547CEE" w:rsidRDefault="00547CEE" w:rsidP="00547CEE">
    <w:pPr>
      <w:spacing w:after="0" w:line="240" w:lineRule="auto"/>
      <w:ind w:left="-706" w:firstLine="706"/>
      <w:rPr>
        <w:rFonts w:ascii="Myriad Pro Light" w:eastAsia="MS Mincho" w:hAnsi="Myriad Pro Light" w:cs="Times New Roman"/>
        <w:b/>
        <w:lang w:val="en-US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14:paraId="3EBFF6F9" w14:textId="77777777" w:rsidR="00547CEE" w:rsidRDefault="00547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B82760"/>
    <w:multiLevelType w:val="hybridMultilevel"/>
    <w:tmpl w:val="A28A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641641">
    <w:abstractNumId w:val="0"/>
  </w:num>
  <w:num w:numId="2" w16cid:durableId="1463116399">
    <w:abstractNumId w:val="1"/>
  </w:num>
  <w:num w:numId="3" w16cid:durableId="134177483">
    <w:abstractNumId w:val="2"/>
  </w:num>
  <w:num w:numId="4" w16cid:durableId="618142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61"/>
    <w:rsid w:val="00226061"/>
    <w:rsid w:val="00547CEE"/>
    <w:rsid w:val="009C6F9D"/>
    <w:rsid w:val="00D0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FE2E"/>
  <w15:chartTrackingRefBased/>
  <w15:docId w15:val="{3D48E607-51CF-49AB-923E-D0905F3C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06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61"/>
    <w:rPr>
      <w:lang w:val="en-GB"/>
    </w:rPr>
  </w:style>
  <w:style w:type="paragraph" w:styleId="ListParagraph">
    <w:name w:val="List Paragraph"/>
    <w:basedOn w:val="Normal"/>
    <w:uiPriority w:val="34"/>
    <w:qFormat/>
    <w:rsid w:val="00226061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22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60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E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2022-05-20T11:42:00Z</dcterms:created>
  <dcterms:modified xsi:type="dcterms:W3CDTF">2022-05-20T11:50:00Z</dcterms:modified>
</cp:coreProperties>
</file>