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5293" w14:textId="77777777" w:rsidR="00BE7029" w:rsidRDefault="0106BB69">
      <w:pPr>
        <w:pStyle w:val="Heading1"/>
        <w:jc w:val="center"/>
        <w:rPr>
          <w:rFonts w:ascii="Arial" w:eastAsia="Arial" w:hAnsi="Arial" w:cs="Arial"/>
          <w:bCs/>
        </w:rPr>
      </w:pPr>
      <w:r w:rsidRPr="0106BB69">
        <w:rPr>
          <w:rFonts w:ascii="Arial" w:hAnsi="Arial" w:cs="Arial"/>
        </w:rPr>
        <w:t xml:space="preserve">Evaluation Scope of Work </w:t>
      </w:r>
    </w:p>
    <w:p w14:paraId="36856B0E" w14:textId="112DFE30" w:rsidR="0106BB69" w:rsidRDefault="0106BB69" w:rsidP="0106BB69"/>
    <w:tbl>
      <w:tblPr>
        <w:tblStyle w:val="TableGrid"/>
        <w:tblW w:w="9465" w:type="dxa"/>
        <w:tblLayout w:type="fixed"/>
        <w:tblLook w:val="04A0" w:firstRow="1" w:lastRow="0" w:firstColumn="1" w:lastColumn="0" w:noHBand="0" w:noVBand="1"/>
      </w:tblPr>
      <w:tblGrid>
        <w:gridCol w:w="2065"/>
        <w:gridCol w:w="7400"/>
      </w:tblGrid>
      <w:tr w:rsidR="00BE7029" w14:paraId="6EEC658A" w14:textId="77777777">
        <w:trPr>
          <w:trHeight w:val="300"/>
        </w:trPr>
        <w:tc>
          <w:tcPr>
            <w:tcW w:w="2065" w:type="dxa"/>
          </w:tcPr>
          <w:p w14:paraId="5CF1D93B" w14:textId="77777777" w:rsidR="00BE7029" w:rsidRDefault="00000000">
            <w:pPr>
              <w:spacing w:after="0" w:line="240" w:lineRule="auto"/>
              <w:rPr>
                <w:rFonts w:ascii="Arial" w:eastAsia="Arial" w:hAnsi="Arial" w:cs="Arial"/>
                <w:b/>
                <w:bCs/>
                <w:color w:val="000000" w:themeColor="text1"/>
                <w:kern w:val="2"/>
              </w:rPr>
            </w:pPr>
            <w:r>
              <w:rPr>
                <w:rFonts w:ascii="Arial" w:eastAsia="Arial" w:hAnsi="Arial" w:cs="Arial" w:hint="eastAsia"/>
                <w:b/>
                <w:bCs/>
                <w:color w:val="000000" w:themeColor="text1"/>
                <w:kern w:val="2"/>
              </w:rPr>
              <w:t xml:space="preserve">Project Title </w:t>
            </w:r>
          </w:p>
        </w:tc>
        <w:tc>
          <w:tcPr>
            <w:tcW w:w="7400" w:type="dxa"/>
          </w:tcPr>
          <w:p w14:paraId="7826A7BE" w14:textId="77777777" w:rsidR="00BE7029" w:rsidRDefault="00000000">
            <w:pPr>
              <w:spacing w:after="0" w:line="240" w:lineRule="auto"/>
              <w:rPr>
                <w:rFonts w:ascii="Arial" w:eastAsia="Arial" w:hAnsi="Arial" w:cs="Arial"/>
                <w:color w:val="000000" w:themeColor="text1"/>
                <w:kern w:val="2"/>
              </w:rPr>
            </w:pPr>
            <w:r>
              <w:rPr>
                <w:rFonts w:ascii="Arial" w:eastAsia="Arial" w:hAnsi="Arial" w:cs="Arial" w:hint="eastAsia"/>
                <w:color w:val="000000" w:themeColor="text1"/>
                <w:kern w:val="2"/>
              </w:rPr>
              <w:t xml:space="preserve">Strengthening Resilience in Agriculture, Livelihoods and Markets Phase II (STREAM II)  </w:t>
            </w:r>
          </w:p>
        </w:tc>
      </w:tr>
      <w:tr w:rsidR="00BE7029" w14:paraId="4120DF07" w14:textId="77777777">
        <w:trPr>
          <w:trHeight w:val="300"/>
        </w:trPr>
        <w:tc>
          <w:tcPr>
            <w:tcW w:w="2065" w:type="dxa"/>
          </w:tcPr>
          <w:p w14:paraId="7734C9CD" w14:textId="77777777" w:rsidR="00BE7029" w:rsidRDefault="00000000">
            <w:pPr>
              <w:spacing w:after="0" w:line="240" w:lineRule="auto"/>
              <w:rPr>
                <w:rFonts w:ascii="Arial" w:eastAsia="Arial" w:hAnsi="Arial" w:cs="Arial"/>
                <w:b/>
                <w:bCs/>
                <w:color w:val="000000" w:themeColor="text1"/>
                <w:kern w:val="2"/>
              </w:rPr>
            </w:pPr>
            <w:r>
              <w:rPr>
                <w:rFonts w:ascii="Arial" w:eastAsia="Arial" w:hAnsi="Arial" w:cs="Arial" w:hint="eastAsia"/>
                <w:b/>
                <w:bCs/>
                <w:color w:val="000000" w:themeColor="text1"/>
                <w:kern w:val="2"/>
              </w:rPr>
              <w:t>Project Locations</w:t>
            </w:r>
          </w:p>
        </w:tc>
        <w:tc>
          <w:tcPr>
            <w:tcW w:w="7400" w:type="dxa"/>
          </w:tcPr>
          <w:p w14:paraId="4DDD6626" w14:textId="77777777" w:rsidR="00BE7029" w:rsidRDefault="00000000">
            <w:pPr>
              <w:spacing w:after="0"/>
              <w:jc w:val="both"/>
              <w:rPr>
                <w:rFonts w:ascii="Arial" w:eastAsia="Arial" w:hAnsi="Arial" w:cs="Arial"/>
                <w:color w:val="000000" w:themeColor="text1"/>
                <w:kern w:val="2"/>
              </w:rPr>
            </w:pPr>
            <w:r>
              <w:rPr>
                <w:rFonts w:ascii="Arial" w:eastAsia="Arial" w:hAnsi="Arial" w:cs="Arial" w:hint="eastAsia"/>
                <w:color w:val="000000" w:themeColor="text1"/>
                <w:kern w:val="2"/>
              </w:rPr>
              <w:t xml:space="preserve">Mvolo, Mundri East </w:t>
            </w:r>
            <w:r>
              <w:rPr>
                <w:rFonts w:ascii="Arial" w:hAnsi="Arial" w:cs="Arial" w:hint="eastAsia"/>
                <w:color w:val="000000"/>
                <w:kern w:val="2"/>
                <w:lang w:eastAsia="zh-CN"/>
              </w:rPr>
              <w:t xml:space="preserve">and </w:t>
            </w:r>
            <w:r>
              <w:rPr>
                <w:rFonts w:ascii="Arial" w:eastAsia="Arial" w:hAnsi="Arial" w:cs="Arial" w:hint="eastAsia"/>
                <w:color w:val="000000" w:themeColor="text1"/>
                <w:kern w:val="2"/>
              </w:rPr>
              <w:t xml:space="preserve">West Counties (Western Equatoria State, South Sudan)  </w:t>
            </w:r>
          </w:p>
        </w:tc>
      </w:tr>
      <w:tr w:rsidR="00BE7029" w14:paraId="00760960" w14:textId="77777777">
        <w:trPr>
          <w:trHeight w:val="300"/>
        </w:trPr>
        <w:tc>
          <w:tcPr>
            <w:tcW w:w="2065" w:type="dxa"/>
          </w:tcPr>
          <w:p w14:paraId="7778163D" w14:textId="77777777" w:rsidR="00BE7029" w:rsidRDefault="00000000">
            <w:pPr>
              <w:spacing w:after="0" w:line="240" w:lineRule="auto"/>
              <w:rPr>
                <w:rFonts w:ascii="Arial" w:eastAsia="Arial" w:hAnsi="Arial" w:cs="Arial"/>
                <w:b/>
                <w:bCs/>
                <w:color w:val="000000" w:themeColor="text1"/>
                <w:kern w:val="2"/>
              </w:rPr>
            </w:pPr>
            <w:r>
              <w:rPr>
                <w:rFonts w:ascii="Arial" w:eastAsia="Arial" w:hAnsi="Arial" w:cs="Arial" w:hint="eastAsia"/>
                <w:b/>
                <w:bCs/>
                <w:color w:val="000000" w:themeColor="text1"/>
                <w:kern w:val="2"/>
              </w:rPr>
              <w:t>Duration</w:t>
            </w:r>
          </w:p>
        </w:tc>
        <w:tc>
          <w:tcPr>
            <w:tcW w:w="7400" w:type="dxa"/>
          </w:tcPr>
          <w:p w14:paraId="471EC729" w14:textId="77777777" w:rsidR="00BE7029" w:rsidRDefault="00000000">
            <w:pPr>
              <w:spacing w:after="0"/>
              <w:jc w:val="both"/>
              <w:rPr>
                <w:rFonts w:ascii="Arial" w:eastAsia="Arial" w:hAnsi="Arial" w:cs="Arial"/>
                <w:color w:val="000000" w:themeColor="text1"/>
                <w:kern w:val="2"/>
                <w:vertAlign w:val="superscript"/>
              </w:rPr>
            </w:pPr>
            <w:r>
              <w:rPr>
                <w:rFonts w:ascii="Arial" w:eastAsia="Arial" w:hAnsi="Arial" w:cs="Arial" w:hint="eastAsia"/>
                <w:color w:val="000000" w:themeColor="text1"/>
                <w:kern w:val="2"/>
              </w:rPr>
              <w:t xml:space="preserve">60 LOE Days over a Ninety Day Period (Between </w:t>
            </w:r>
            <w:r>
              <w:rPr>
                <w:rFonts w:ascii="Arial" w:eastAsia="Arial" w:hAnsi="Arial" w:cs="Arial"/>
                <w:color w:val="000000" w:themeColor="text1"/>
                <w:kern w:val="2"/>
              </w:rPr>
              <w:t>January</w:t>
            </w:r>
            <w:r>
              <w:rPr>
                <w:rFonts w:ascii="Arial" w:eastAsia="Arial" w:hAnsi="Arial" w:cs="Arial" w:hint="eastAsia"/>
                <w:color w:val="000000" w:themeColor="text1"/>
                <w:kern w:val="2"/>
              </w:rPr>
              <w:t>1</w:t>
            </w:r>
            <w:r>
              <w:rPr>
                <w:rFonts w:ascii="Arial" w:eastAsia="Arial" w:hAnsi="Arial" w:cs="Arial" w:hint="eastAsia"/>
                <w:color w:val="000000" w:themeColor="text1"/>
                <w:kern w:val="2"/>
                <w:vertAlign w:val="superscript"/>
              </w:rPr>
              <w:t>st</w:t>
            </w:r>
            <w:r>
              <w:rPr>
                <w:rFonts w:ascii="Arial" w:eastAsia="Arial" w:hAnsi="Arial" w:cs="Arial" w:hint="eastAsia"/>
                <w:color w:val="000000" w:themeColor="text1"/>
                <w:kern w:val="2"/>
              </w:rPr>
              <w:t xml:space="preserve"> to </w:t>
            </w:r>
            <w:r>
              <w:rPr>
                <w:rFonts w:ascii="Arial" w:eastAsia="Arial" w:hAnsi="Arial" w:cs="Arial"/>
                <w:color w:val="000000" w:themeColor="text1"/>
                <w:kern w:val="2"/>
              </w:rPr>
              <w:t xml:space="preserve">March </w:t>
            </w:r>
            <w:r>
              <w:rPr>
                <w:rFonts w:ascii="Arial" w:eastAsia="Arial" w:hAnsi="Arial" w:cs="Arial" w:hint="eastAsia"/>
                <w:color w:val="000000" w:themeColor="text1"/>
                <w:kern w:val="2"/>
              </w:rPr>
              <w:t>3</w:t>
            </w:r>
            <w:r>
              <w:rPr>
                <w:rFonts w:ascii="Arial" w:eastAsia="Arial" w:hAnsi="Arial" w:cs="Arial"/>
                <w:color w:val="000000" w:themeColor="text1"/>
                <w:kern w:val="2"/>
              </w:rPr>
              <w:t>1</w:t>
            </w:r>
            <w:r>
              <w:rPr>
                <w:rFonts w:ascii="Arial" w:eastAsia="Arial" w:hAnsi="Arial" w:cs="Arial"/>
                <w:color w:val="000000" w:themeColor="text1"/>
                <w:kern w:val="2"/>
                <w:vertAlign w:val="superscript"/>
              </w:rPr>
              <w:t>st</w:t>
            </w:r>
            <w:r>
              <w:rPr>
                <w:rFonts w:ascii="Arial" w:eastAsia="Arial" w:hAnsi="Arial" w:cs="Arial"/>
                <w:color w:val="000000" w:themeColor="text1"/>
                <w:kern w:val="2"/>
              </w:rPr>
              <w:t xml:space="preserve">, </w:t>
            </w:r>
            <w:r>
              <w:rPr>
                <w:rFonts w:ascii="Arial" w:eastAsia="Arial" w:hAnsi="Arial" w:cs="Arial" w:hint="eastAsia"/>
                <w:color w:val="000000" w:themeColor="text1"/>
                <w:kern w:val="2"/>
              </w:rPr>
              <w:t>2026)</w:t>
            </w:r>
          </w:p>
        </w:tc>
      </w:tr>
    </w:tbl>
    <w:p w14:paraId="49E36AE8" w14:textId="77777777" w:rsidR="00BE7029" w:rsidRDefault="00BE7029">
      <w:pPr>
        <w:autoSpaceDE w:val="0"/>
        <w:autoSpaceDN w:val="0"/>
        <w:adjustRightInd w:val="0"/>
        <w:spacing w:after="0" w:line="240" w:lineRule="auto"/>
        <w:jc w:val="both"/>
        <w:rPr>
          <w:rFonts w:ascii="Arial" w:hAnsi="Arial" w:cs="Arial"/>
          <w:color w:val="000000"/>
        </w:rPr>
      </w:pPr>
    </w:p>
    <w:p w14:paraId="6F642F85" w14:textId="77777777" w:rsidR="00BE7029" w:rsidRDefault="00000000">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Scope of Work</w:t>
      </w:r>
    </w:p>
    <w:p w14:paraId="4DDC0037" w14:textId="77777777" w:rsidR="00BE7029" w:rsidRDefault="00BE7029">
      <w:pPr>
        <w:autoSpaceDE w:val="0"/>
        <w:autoSpaceDN w:val="0"/>
        <w:adjustRightInd w:val="0"/>
        <w:spacing w:after="0" w:line="240" w:lineRule="auto"/>
        <w:jc w:val="center"/>
        <w:rPr>
          <w:rFonts w:ascii="Arial" w:hAnsi="Arial" w:cs="Arial"/>
          <w:b/>
          <w:bCs/>
          <w:color w:val="000000"/>
          <w:sz w:val="28"/>
          <w:szCs w:val="28"/>
        </w:rPr>
      </w:pPr>
    </w:p>
    <w:p w14:paraId="0BAADC6A" w14:textId="77777777" w:rsidR="00BE7029" w:rsidRDefault="00000000">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Consultant for Conducting Maturity Assessment and Grants Disbursement to Matured SHGs in Greater Mundri</w:t>
      </w:r>
    </w:p>
    <w:p w14:paraId="2A6EF847" w14:textId="77777777" w:rsidR="00BE7029" w:rsidRDefault="00BE7029">
      <w:pPr>
        <w:autoSpaceDE w:val="0"/>
        <w:autoSpaceDN w:val="0"/>
        <w:adjustRightInd w:val="0"/>
        <w:spacing w:after="0" w:line="240" w:lineRule="auto"/>
        <w:jc w:val="both"/>
        <w:rPr>
          <w:rFonts w:ascii="Arial" w:hAnsi="Arial" w:cs="Arial"/>
          <w:b/>
          <w:bCs/>
          <w:color w:val="000000"/>
        </w:rPr>
      </w:pPr>
    </w:p>
    <w:p w14:paraId="34D6753F" w14:textId="77777777" w:rsidR="00BE7029" w:rsidRDefault="00000000">
      <w:pPr>
        <w:pStyle w:val="ListParagraph"/>
        <w:numPr>
          <w:ilvl w:val="0"/>
          <w:numId w:val="1"/>
        </w:num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Background</w:t>
      </w:r>
    </w:p>
    <w:p w14:paraId="5D3CC5BF" w14:textId="77777777" w:rsidR="00BE7029" w:rsidRDefault="00000000">
      <w:pPr>
        <w:spacing w:after="0"/>
        <w:jc w:val="both"/>
        <w:rPr>
          <w:rFonts w:ascii="Arial" w:hAnsi="Arial" w:cs="Arial"/>
          <w:color w:val="000000"/>
          <w:lang w:eastAsia="zh-CN"/>
        </w:rPr>
      </w:pPr>
      <w:r>
        <w:rPr>
          <w:rFonts w:ascii="Arial" w:hAnsi="Arial" w:cs="Arial"/>
          <w:color w:val="000000"/>
          <w:lang w:eastAsia="zh-CN"/>
        </w:rPr>
        <w:t>Mercy Corps is implementing the STREAM II Program with funding from Swiss Agency for Development and Cooperation (SDC), the Royal Norwegian Embassy, and the Embassy of the Kingdom of the Netherlands to sustainably move households out of chronic vulnerability and poverty by facilitating economic recovery and growth for smallholder farmers and non-farm microenterprises in vulnerable and conflict affected areas in Greater Mundri counties. Sustainability and scalability of change processes and market functions remain at the heart of the program design.</w:t>
      </w:r>
    </w:p>
    <w:p w14:paraId="6F092579" w14:textId="77777777" w:rsidR="00BE7029" w:rsidRDefault="00BE7029">
      <w:pPr>
        <w:spacing w:after="0"/>
        <w:jc w:val="both"/>
        <w:rPr>
          <w:rFonts w:ascii="Arial" w:hAnsi="Arial" w:cs="Arial"/>
          <w:color w:val="000000"/>
          <w:lang w:eastAsia="zh-CN"/>
        </w:rPr>
      </w:pPr>
    </w:p>
    <w:p w14:paraId="58FB6D9E" w14:textId="77777777" w:rsidR="00BE7029" w:rsidRDefault="00000000">
      <w:pPr>
        <w:spacing w:after="0"/>
        <w:jc w:val="both"/>
        <w:rPr>
          <w:rFonts w:ascii="Arial" w:hAnsi="Arial" w:cs="Arial"/>
          <w:color w:val="000000"/>
          <w:lang w:eastAsia="zh-CN"/>
        </w:rPr>
      </w:pPr>
      <w:r>
        <w:rPr>
          <w:rFonts w:ascii="Arial" w:hAnsi="Arial" w:cs="Arial"/>
          <w:color w:val="000000"/>
          <w:lang w:eastAsia="zh-CN"/>
        </w:rPr>
        <w:t xml:space="preserve">The STREAM II Program recognizes Self-Help Groups (SHGs) as a cornerstone for poverty alleviation, women’s empowerment, and community development in South Sudan. SHGs have proven to be an effective mechanism for financial inclusion and collective action, particularly among women and youth in underserved regions. Evidence from STREAM </w:t>
      </w:r>
      <w:proofErr w:type="gramStart"/>
      <w:r>
        <w:rPr>
          <w:rFonts w:ascii="Arial" w:hAnsi="Arial" w:cs="Arial"/>
          <w:color w:val="000000"/>
          <w:lang w:eastAsia="zh-CN"/>
        </w:rPr>
        <w:t>I Program</w:t>
      </w:r>
      <w:proofErr w:type="gramEnd"/>
      <w:r>
        <w:rPr>
          <w:rFonts w:ascii="Arial" w:hAnsi="Arial" w:cs="Arial"/>
          <w:color w:val="000000"/>
          <w:lang w:eastAsia="zh-CN"/>
        </w:rPr>
        <w:t xml:space="preserve"> demonstrated that SHGs not only facilitate savings and access to credit, but also foster economic independence, social cohesion, and resilience against shocks.</w:t>
      </w:r>
    </w:p>
    <w:p w14:paraId="4FC0E43A" w14:textId="77777777" w:rsidR="00BE7029" w:rsidRDefault="00BE7029">
      <w:pPr>
        <w:spacing w:after="0"/>
        <w:jc w:val="both"/>
        <w:rPr>
          <w:rFonts w:ascii="Arial" w:hAnsi="Arial" w:cs="Arial"/>
          <w:color w:val="000000"/>
          <w:lang w:eastAsia="zh-CN"/>
        </w:rPr>
      </w:pPr>
    </w:p>
    <w:p w14:paraId="7A3A2C5A" w14:textId="4D01154C" w:rsidR="00BE7029" w:rsidRDefault="0106BB69" w:rsidP="0106BB69">
      <w:pPr>
        <w:spacing w:after="0"/>
        <w:jc w:val="both"/>
        <w:rPr>
          <w:rFonts w:ascii="Arial" w:hAnsi="Arial" w:cs="Arial"/>
          <w:color w:val="000000"/>
          <w:lang w:eastAsia="zh-CN"/>
        </w:rPr>
      </w:pPr>
      <w:r w:rsidRPr="0106BB69">
        <w:rPr>
          <w:rFonts w:ascii="Arial" w:hAnsi="Arial" w:cs="Arial"/>
          <w:color w:val="000000" w:themeColor="text1"/>
          <w:lang w:eastAsia="zh-CN"/>
        </w:rPr>
        <w:t>Traditionally, the linkage of SHGs to formal financial institutions was envisioned as a pathway to scale financial services access, including loans and credit products. However, persistent liquidity challenges and limited cash withdrawal capacity within South Sudanese banks—exacerbated by the ongoing national crisis—have necessitated a strategic shift. In response, the STREAM II Program will provide direct grant disbursements to mature SHGs rather than channeling funds through financial institutions. This approach is informed by program monitoring and context analysis, which highlight that direct capital injections better enable SHGs to address immediate operational needs, expand small businesses, and increase savings and lending activities.</w:t>
      </w:r>
    </w:p>
    <w:p w14:paraId="28DBC50F" w14:textId="77777777" w:rsidR="00BE7029" w:rsidRDefault="00000000">
      <w:pPr>
        <w:numPr>
          <w:ilvl w:val="0"/>
          <w:numId w:val="1"/>
        </w:numPr>
        <w:spacing w:after="0"/>
        <w:jc w:val="both"/>
        <w:rPr>
          <w:rFonts w:ascii="Arial" w:hAnsi="Arial" w:cs="Arial"/>
          <w:b/>
          <w:bCs/>
          <w:color w:val="000000"/>
          <w:lang w:eastAsia="zh-CN"/>
        </w:rPr>
      </w:pPr>
      <w:r>
        <w:rPr>
          <w:rFonts w:ascii="Arial" w:hAnsi="Arial" w:cs="Arial"/>
          <w:b/>
          <w:bCs/>
          <w:color w:val="000000"/>
          <w:lang w:eastAsia="zh-CN"/>
        </w:rPr>
        <w:t>Activity Rational</w:t>
      </w:r>
    </w:p>
    <w:p w14:paraId="011DB59C" w14:textId="77777777" w:rsidR="00BE7029" w:rsidRDefault="00000000">
      <w:pPr>
        <w:spacing w:after="0"/>
        <w:jc w:val="both"/>
        <w:rPr>
          <w:rFonts w:ascii="Arial" w:hAnsi="Arial" w:cs="Arial"/>
          <w:color w:val="000000"/>
          <w:lang w:eastAsia="zh-CN"/>
        </w:rPr>
      </w:pPr>
      <w:r>
        <w:rPr>
          <w:rFonts w:ascii="Arial" w:hAnsi="Arial" w:cs="Arial"/>
          <w:color w:val="000000"/>
          <w:lang w:eastAsia="zh-CN"/>
        </w:rPr>
        <w:t xml:space="preserve">This initiative will identify fifty matured SHGs, selected from a pool of 109 active groups across Mundri West, Mundri East, and Mvolo counties. The Consultant will develop robust selection </w:t>
      </w:r>
      <w:r>
        <w:rPr>
          <w:rFonts w:ascii="Arial" w:hAnsi="Arial" w:cs="Arial"/>
          <w:color w:val="000000"/>
          <w:lang w:eastAsia="zh-CN"/>
        </w:rPr>
        <w:lastRenderedPageBreak/>
        <w:t>criteria capturing key aspects of SHG’s operations including the existence of clear by-laws, evidence of consistent weekly savings and credit meetings, sound loan practices, effective leadership rotation, and established business plans. An experienced consultant will be engaged to conduct a rapid maturity assessment capturing existing needs, pinpointing skill gaps and capacity-building requirements prior to grant disbursement. Tailored training will then be provided in financial management, business development, and group dynamics, ensuring that SHGs are equipped to maximize the impact of the grants.</w:t>
      </w:r>
    </w:p>
    <w:p w14:paraId="1E76C70E" w14:textId="77777777" w:rsidR="00BE7029" w:rsidRDefault="00BE7029">
      <w:pPr>
        <w:spacing w:after="0"/>
        <w:jc w:val="both"/>
        <w:rPr>
          <w:rFonts w:ascii="Arial" w:hAnsi="Arial" w:cs="Arial"/>
          <w:color w:val="000000"/>
          <w:lang w:eastAsia="zh-CN"/>
        </w:rPr>
      </w:pPr>
    </w:p>
    <w:p w14:paraId="4B74A28B" w14:textId="77777777" w:rsidR="00BE7029" w:rsidRDefault="00000000">
      <w:pPr>
        <w:spacing w:after="0"/>
        <w:jc w:val="both"/>
        <w:rPr>
          <w:rFonts w:ascii="Arial" w:hAnsi="Arial" w:cs="Arial"/>
          <w:color w:val="000000"/>
          <w:lang w:eastAsia="zh-CN"/>
        </w:rPr>
      </w:pPr>
      <w:r>
        <w:rPr>
          <w:rFonts w:ascii="Arial" w:hAnsi="Arial" w:cs="Arial"/>
          <w:color w:val="000000"/>
          <w:lang w:eastAsia="zh-CN"/>
        </w:rPr>
        <w:t>Women and youth are central to this intervention. Their active participation in SHGs has been shown to strengthen financial inclusion, promote gender equity, and catalyze local enterprise development, especially in sectors such as tailoring, carpentry, food enterprises, and agribusinesses. By equipping groups with resources and skills, the program aims to create sustainable pathways for economic growth and resilience.</w:t>
      </w:r>
    </w:p>
    <w:p w14:paraId="6F942279" w14:textId="77777777" w:rsidR="00BE7029" w:rsidRDefault="00BE7029">
      <w:pPr>
        <w:spacing w:after="0"/>
        <w:jc w:val="both"/>
        <w:rPr>
          <w:rFonts w:ascii="Arial" w:hAnsi="Arial" w:cs="Arial"/>
          <w:color w:val="000000"/>
          <w:lang w:eastAsia="zh-CN"/>
        </w:rPr>
      </w:pPr>
    </w:p>
    <w:p w14:paraId="5C795652" w14:textId="77777777" w:rsidR="00BE7029" w:rsidRDefault="00000000">
      <w:pPr>
        <w:numPr>
          <w:ilvl w:val="0"/>
          <w:numId w:val="1"/>
        </w:numPr>
        <w:spacing w:after="0"/>
        <w:jc w:val="both"/>
        <w:rPr>
          <w:rFonts w:ascii="Arial" w:hAnsi="Arial" w:cs="Arial"/>
          <w:b/>
          <w:bCs/>
          <w:color w:val="000000"/>
          <w:lang w:eastAsia="zh-CN"/>
        </w:rPr>
      </w:pPr>
      <w:r>
        <w:rPr>
          <w:rFonts w:ascii="Arial" w:hAnsi="Arial" w:cs="Arial"/>
          <w:b/>
          <w:bCs/>
          <w:color w:val="000000"/>
          <w:lang w:eastAsia="zh-CN"/>
        </w:rPr>
        <w:t>Objectives</w:t>
      </w:r>
    </w:p>
    <w:p w14:paraId="35F1630D" w14:textId="46655CC5" w:rsidR="00BE7029" w:rsidRDefault="0106BB69" w:rsidP="0106BB69">
      <w:pPr>
        <w:spacing w:after="0"/>
        <w:jc w:val="both"/>
        <w:rPr>
          <w:rFonts w:ascii="Arial" w:hAnsi="Arial" w:cs="Arial"/>
          <w:color w:val="000000"/>
          <w:lang w:eastAsia="zh-CN"/>
        </w:rPr>
      </w:pPr>
      <w:r w:rsidRPr="0106BB69">
        <w:rPr>
          <w:rFonts w:ascii="Arial" w:hAnsi="Arial" w:cs="Arial"/>
          <w:color w:val="000000" w:themeColor="text1"/>
          <w:lang w:eastAsia="zh-CN"/>
        </w:rPr>
        <w:t>This Scope of Work draws on lessons learned and successful strategies highlighted in the evidence base, ensuring the consultant addresses real capacity gaps, supports sustainable business growth, and fosters stronger market linkages for Micro, Small, and Medium-size Enterprises (MSMEs) and BDS groups in Greater Mundri. More specifically, the consultant will be expected to:</w:t>
      </w:r>
    </w:p>
    <w:p w14:paraId="7F9BD44A" w14:textId="1A131A41"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Strengthen the capacity of MSMEs and BDS groups in strategic business planning, financial management, and record-keeping.</w:t>
      </w:r>
    </w:p>
    <w:p w14:paraId="2118992B"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Support the development and implementation of clear business plans for BDS groups.</w:t>
      </w:r>
    </w:p>
    <w:p w14:paraId="0D06FC5E"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Enhance market linkages and networking among business actors and producer groups.</w:t>
      </w:r>
    </w:p>
    <w:p w14:paraId="633CC626" w14:textId="41A31BE3"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Improve the sustainability and productivity of MSMEs and BDS groups through targeted technical support and coaching.</w:t>
      </w:r>
    </w:p>
    <w:p w14:paraId="6A6CA780" w14:textId="77777777" w:rsidR="00BE7029" w:rsidRDefault="00BE7029">
      <w:pPr>
        <w:spacing w:after="0"/>
        <w:jc w:val="both"/>
        <w:rPr>
          <w:rFonts w:ascii="Arial" w:hAnsi="Arial" w:cs="Arial"/>
          <w:color w:val="000000"/>
          <w:lang w:eastAsia="zh-CN"/>
        </w:rPr>
      </w:pPr>
    </w:p>
    <w:p w14:paraId="2D8A8A47" w14:textId="77777777" w:rsidR="00BE7029" w:rsidRDefault="00000000">
      <w:pPr>
        <w:numPr>
          <w:ilvl w:val="0"/>
          <w:numId w:val="1"/>
        </w:numPr>
        <w:spacing w:after="0"/>
        <w:jc w:val="both"/>
        <w:rPr>
          <w:rFonts w:ascii="Arial" w:hAnsi="Arial" w:cs="Arial"/>
          <w:b/>
          <w:bCs/>
          <w:color w:val="000000"/>
          <w:lang w:eastAsia="zh-CN"/>
        </w:rPr>
      </w:pPr>
      <w:r>
        <w:rPr>
          <w:rFonts w:ascii="Arial" w:hAnsi="Arial" w:cs="Arial"/>
          <w:b/>
          <w:bCs/>
          <w:color w:val="000000"/>
          <w:lang w:eastAsia="zh-CN"/>
        </w:rPr>
        <w:t>Key Tasks and Deliverables</w:t>
      </w:r>
    </w:p>
    <w:p w14:paraId="47B65627" w14:textId="1BE5512D" w:rsidR="00BE7029" w:rsidRDefault="0106BB69" w:rsidP="0106BB69">
      <w:pPr>
        <w:spacing w:after="0"/>
        <w:jc w:val="both"/>
        <w:rPr>
          <w:rFonts w:ascii="Arial" w:hAnsi="Arial" w:cs="Arial"/>
          <w:color w:val="000000"/>
          <w:lang w:eastAsia="zh-CN"/>
        </w:rPr>
      </w:pPr>
      <w:r w:rsidRPr="0106BB69">
        <w:rPr>
          <w:rFonts w:ascii="Arial" w:hAnsi="Arial" w:cs="Arial"/>
          <w:color w:val="000000" w:themeColor="text1"/>
          <w:lang w:eastAsia="zh-CN"/>
        </w:rPr>
        <w:t>To effectively assess the maturity of SHGs within the STREAM II Program, a structured and participatory methodology is recommended. This approach has been developed and validated through multiple consultancy assignments, program assessments, and field experiences elsewhere and is supported by quantitative and qualitative evidence.</w:t>
      </w:r>
    </w:p>
    <w:p w14:paraId="48FAC573" w14:textId="77777777" w:rsidR="00BE7029" w:rsidRDefault="00BE7029">
      <w:pPr>
        <w:spacing w:after="0"/>
        <w:jc w:val="both"/>
        <w:rPr>
          <w:rFonts w:ascii="Arial" w:hAnsi="Arial" w:cs="Arial"/>
          <w:color w:val="000000"/>
          <w:lang w:eastAsia="zh-CN"/>
        </w:rPr>
      </w:pPr>
    </w:p>
    <w:p w14:paraId="14DC8D67" w14:textId="77777777" w:rsidR="00BE7029" w:rsidRDefault="00000000">
      <w:pPr>
        <w:spacing w:after="0"/>
        <w:jc w:val="both"/>
        <w:rPr>
          <w:rFonts w:ascii="Arial" w:hAnsi="Arial" w:cs="Arial"/>
          <w:b/>
          <w:bCs/>
          <w:color w:val="000000"/>
          <w:lang w:eastAsia="zh-CN"/>
        </w:rPr>
      </w:pPr>
      <w:r>
        <w:rPr>
          <w:rFonts w:ascii="Arial" w:hAnsi="Arial" w:cs="Arial"/>
          <w:b/>
          <w:bCs/>
          <w:color w:val="000000"/>
          <w:lang w:eastAsia="zh-CN"/>
        </w:rPr>
        <w:t>4.1. Preparatory Steps</w:t>
      </w:r>
    </w:p>
    <w:p w14:paraId="7B76F4B7" w14:textId="3CE2D882" w:rsidR="00BE7029" w:rsidRDefault="0106BB69" w:rsidP="0106BB69">
      <w:pPr>
        <w:spacing w:after="0"/>
        <w:jc w:val="both"/>
        <w:rPr>
          <w:rFonts w:ascii="Arial" w:hAnsi="Arial" w:cs="Arial"/>
          <w:color w:val="000000"/>
          <w:lang w:eastAsia="zh-CN"/>
        </w:rPr>
      </w:pPr>
      <w:r w:rsidRPr="0106BB69">
        <w:rPr>
          <w:rFonts w:ascii="Arial" w:hAnsi="Arial" w:cs="Arial"/>
          <w:color w:val="000000" w:themeColor="text1"/>
          <w:lang w:eastAsia="zh-CN"/>
        </w:rPr>
        <w:t>Needs Assessment of Facilitators &amp; Promoters: Begin by assessing the knowledge, skills, and practices (KSP) of Mercy Corps staff, Active Youth Agency (AYA) partners, community promoters, and SHG representatives. This baseline analysis identifies gaps in understanding SHG concepts, management, and institutional approaches, informing the design of the maturity assessment tools.</w:t>
      </w:r>
    </w:p>
    <w:p w14:paraId="08BC49B5" w14:textId="77777777" w:rsidR="00BE7029" w:rsidRDefault="00BE7029">
      <w:pPr>
        <w:spacing w:after="0"/>
        <w:jc w:val="both"/>
        <w:rPr>
          <w:rFonts w:ascii="Arial" w:hAnsi="Arial" w:cs="Arial"/>
          <w:b/>
          <w:bCs/>
          <w:color w:val="000000"/>
          <w:lang w:eastAsia="zh-CN"/>
        </w:rPr>
      </w:pPr>
    </w:p>
    <w:p w14:paraId="15E854A7" w14:textId="77777777" w:rsidR="00BE7029" w:rsidRDefault="00000000">
      <w:pPr>
        <w:spacing w:after="0"/>
        <w:jc w:val="both"/>
        <w:rPr>
          <w:rFonts w:ascii="Arial" w:hAnsi="Arial" w:cs="Arial"/>
          <w:color w:val="000000"/>
          <w:lang w:eastAsia="zh-CN"/>
        </w:rPr>
      </w:pPr>
      <w:r>
        <w:rPr>
          <w:rFonts w:ascii="Arial" w:hAnsi="Arial" w:cs="Arial"/>
          <w:color w:val="000000"/>
          <w:lang w:eastAsia="zh-CN"/>
        </w:rPr>
        <w:t>Development of Assessment Tools: Design comprehensive tools and questionnaires that cover financial and non-financial indicators at SHG, Boma, and Payam levels. These should capture both quantitative data (e.g., savings, loan amounts, attendance) and qualitative aspects (e.g., governance, group dynamics, decision-making).</w:t>
      </w:r>
    </w:p>
    <w:p w14:paraId="13802937" w14:textId="77777777" w:rsidR="00BE7029" w:rsidRDefault="00BE7029">
      <w:pPr>
        <w:spacing w:after="0"/>
        <w:jc w:val="both"/>
        <w:rPr>
          <w:rFonts w:ascii="Arial" w:hAnsi="Arial" w:cs="Arial"/>
          <w:color w:val="000000"/>
          <w:lang w:eastAsia="zh-CN"/>
        </w:rPr>
      </w:pPr>
    </w:p>
    <w:p w14:paraId="34C6907E" w14:textId="77777777" w:rsidR="00BE7029" w:rsidRDefault="00000000">
      <w:pPr>
        <w:autoSpaceDE w:val="0"/>
        <w:autoSpaceDN w:val="0"/>
        <w:adjustRightInd w:val="0"/>
        <w:spacing w:after="0" w:line="240" w:lineRule="auto"/>
        <w:jc w:val="both"/>
        <w:rPr>
          <w:rFonts w:ascii="Arial" w:hAnsi="Arial" w:cs="Arial"/>
          <w:b/>
          <w:bCs/>
          <w:color w:val="000000"/>
          <w:lang w:eastAsia="zh-CN"/>
        </w:rPr>
      </w:pPr>
      <w:r>
        <w:rPr>
          <w:rFonts w:ascii="Arial" w:hAnsi="Arial" w:cs="Arial"/>
          <w:b/>
          <w:bCs/>
          <w:color w:val="000000"/>
          <w:lang w:eastAsia="zh-CN"/>
        </w:rPr>
        <w:lastRenderedPageBreak/>
        <w:t>4.2. Data Collection and Field Engagement</w:t>
      </w:r>
    </w:p>
    <w:p w14:paraId="0C156169" w14:textId="77777777" w:rsidR="00BE7029" w:rsidRDefault="00000000">
      <w:pPr>
        <w:spacing w:after="0"/>
        <w:jc w:val="both"/>
        <w:rPr>
          <w:rFonts w:ascii="Arial" w:hAnsi="Arial" w:cs="Arial"/>
          <w:color w:val="000000"/>
          <w:lang w:eastAsia="zh-CN"/>
        </w:rPr>
      </w:pPr>
      <w:r>
        <w:rPr>
          <w:rFonts w:ascii="Arial" w:hAnsi="Arial" w:cs="Arial"/>
          <w:color w:val="000000"/>
          <w:lang w:eastAsia="zh-CN"/>
        </w:rPr>
        <w:t>Participatory Methods: Use a mix of focus group discussions, semi-structured interviews, direct observation, and interactive exercises (e.g., role plays, quizzes, simulations) with SHG members. Village visits and field interactions allow for triangulation of data and contextual insights.</w:t>
      </w:r>
    </w:p>
    <w:p w14:paraId="6428E110"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SHG Health Assessment: Evaluate each SHG on core parameters:</w:t>
      </w:r>
    </w:p>
    <w:p w14:paraId="63C642B7"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Governance: Existence and enforcement of by-laws, leadership rotation, regular meetings.</w:t>
      </w:r>
    </w:p>
    <w:p w14:paraId="358FC49F"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Financial Management: Savings habits, loan disbursement and repayment, record-keeping/bookkeeping practices.</w:t>
      </w:r>
    </w:p>
    <w:p w14:paraId="360AE1CC"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Social Cohesion: Participation in collective decision-making, mutual support, group solidarity.</w:t>
      </w:r>
    </w:p>
    <w:p w14:paraId="3025BC2B"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Economic Impact: Number and type of loans (business, consumption, education, medical), asset creation, business activities initiated.</w:t>
      </w:r>
    </w:p>
    <w:p w14:paraId="7D8BD72A" w14:textId="5CEF5204" w:rsidR="00BE7029" w:rsidRDefault="0106BB69" w:rsidP="0106BB69">
      <w:pPr>
        <w:numPr>
          <w:ilvl w:val="0"/>
          <w:numId w:val="2"/>
        </w:numPr>
        <w:autoSpaceDE w:val="0"/>
        <w:autoSpaceDN w:val="0"/>
        <w:adjustRightInd w:val="0"/>
        <w:spacing w:after="0" w:line="240" w:lineRule="auto"/>
        <w:jc w:val="both"/>
        <w:rPr>
          <w:rFonts w:ascii="Arial" w:hAnsi="Arial" w:cs="Arial"/>
          <w:color w:val="000000"/>
          <w:lang w:eastAsia="zh-CN"/>
        </w:rPr>
      </w:pPr>
      <w:r w:rsidRPr="0106BB69">
        <w:rPr>
          <w:rFonts w:ascii="Arial" w:hAnsi="Arial" w:cs="Arial"/>
          <w:color w:val="000000" w:themeColor="text1"/>
          <w:lang w:eastAsia="zh-CN"/>
        </w:rPr>
        <w:t>Inclusivity: Gender balance, youth involvement, leadership opportunities for women.</w:t>
      </w:r>
    </w:p>
    <w:p w14:paraId="0BE19074" w14:textId="77777777" w:rsidR="00BE7029" w:rsidRDefault="00000000">
      <w:pPr>
        <w:autoSpaceDE w:val="0"/>
        <w:autoSpaceDN w:val="0"/>
        <w:adjustRightInd w:val="0"/>
        <w:spacing w:after="0" w:line="240" w:lineRule="auto"/>
        <w:jc w:val="both"/>
        <w:rPr>
          <w:rFonts w:ascii="Arial" w:hAnsi="Arial" w:cs="Arial"/>
          <w:b/>
          <w:bCs/>
          <w:color w:val="000000"/>
          <w:lang w:eastAsia="zh-CN"/>
        </w:rPr>
      </w:pPr>
      <w:r>
        <w:rPr>
          <w:rFonts w:ascii="Arial" w:hAnsi="Arial" w:cs="Arial"/>
          <w:b/>
          <w:bCs/>
          <w:color w:val="000000"/>
          <w:lang w:eastAsia="zh-CN"/>
        </w:rPr>
        <w:t>4.3. Quantitative Indicators</w:t>
      </w:r>
    </w:p>
    <w:p w14:paraId="7B2B79E8"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Savings and Loan Data: Track metrics such as total group savings, loan amounts issued, and outstanding loans. For example, across 48 SHGs in Mundri, total savings reached 14,550,970 SSP and 20,149,875 SSP in loans were issued as of August 2022.</w:t>
      </w:r>
    </w:p>
    <w:p w14:paraId="07E366DA"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Group Membership and Participation: Document the number of SHG members (disaggregated by gender and age) and attendance rates in meetings and trainings.</w:t>
      </w:r>
    </w:p>
    <w:p w14:paraId="4348DB51" w14:textId="2D5277B7"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Loan Utilization: Categorize loans by purpose (business, asset creation, education, medical, consumption) to assess alignment with group objectives and economic development.</w:t>
      </w:r>
    </w:p>
    <w:p w14:paraId="4FE4844E" w14:textId="77777777" w:rsidR="00BE7029" w:rsidRDefault="00000000">
      <w:pPr>
        <w:autoSpaceDE w:val="0"/>
        <w:autoSpaceDN w:val="0"/>
        <w:adjustRightInd w:val="0"/>
        <w:spacing w:after="0" w:line="240" w:lineRule="auto"/>
        <w:jc w:val="both"/>
        <w:rPr>
          <w:rFonts w:ascii="Arial" w:hAnsi="Arial" w:cs="Arial"/>
          <w:b/>
          <w:bCs/>
          <w:color w:val="000000"/>
          <w:lang w:eastAsia="zh-CN"/>
        </w:rPr>
      </w:pPr>
      <w:r>
        <w:rPr>
          <w:rFonts w:ascii="Arial" w:hAnsi="Arial" w:cs="Arial"/>
          <w:b/>
          <w:bCs/>
          <w:color w:val="000000"/>
          <w:lang w:eastAsia="zh-CN"/>
        </w:rPr>
        <w:t>4.4. Qualitative Assessment</w:t>
      </w:r>
    </w:p>
    <w:p w14:paraId="0AE94396"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SWOT Analysis: Conduct Strengths, Weaknesses, Opportunities, and Threats analysis with each group, facilitators, and promoters to identify internal and external factors impacting group maturity.</w:t>
      </w:r>
    </w:p>
    <w:p w14:paraId="6827BC50" w14:textId="40DB1569"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Group Functionality: Assess the ability of SHGs to operate independently, resolve conflicts, maintain transparency, and plan for sustainability (including formation of County-level Savings and Credit Associations).</w:t>
      </w:r>
    </w:p>
    <w:p w14:paraId="7810ECE2" w14:textId="77777777" w:rsidR="00BE7029" w:rsidRDefault="00000000">
      <w:pPr>
        <w:autoSpaceDE w:val="0"/>
        <w:autoSpaceDN w:val="0"/>
        <w:adjustRightInd w:val="0"/>
        <w:spacing w:after="0" w:line="240" w:lineRule="auto"/>
        <w:jc w:val="both"/>
        <w:rPr>
          <w:rFonts w:ascii="Arial" w:hAnsi="Arial" w:cs="Arial"/>
          <w:b/>
          <w:bCs/>
          <w:color w:val="000000"/>
          <w:lang w:eastAsia="zh-CN"/>
        </w:rPr>
      </w:pPr>
      <w:r>
        <w:rPr>
          <w:rFonts w:ascii="Arial" w:hAnsi="Arial" w:cs="Arial"/>
          <w:b/>
          <w:bCs/>
          <w:color w:val="000000"/>
          <w:lang w:eastAsia="zh-CN"/>
        </w:rPr>
        <w:t>4.5. Capacity Building and Follow-Up</w:t>
      </w:r>
    </w:p>
    <w:p w14:paraId="6CD80C84"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Training and Mentorship: Based on assessment findings, develop and deliver tailored training modules, coaching sessions, and action-reflection-learning cycles to address identified gaps and reinforce best practices.</w:t>
      </w:r>
    </w:p>
    <w:p w14:paraId="49A978CA" w14:textId="0524A98F"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Bookkeeping and Audit Training: Train SHG book writers and representatives in financial record-keeping and periodic audits to ensure transparency and sustainability. Quarterly audits help verify assets, resolve discrepancies, and grade SHGs for further support or credit linkage.</w:t>
      </w:r>
    </w:p>
    <w:p w14:paraId="614B5583" w14:textId="77777777" w:rsidR="00BE7029" w:rsidRDefault="00000000">
      <w:pPr>
        <w:autoSpaceDE w:val="0"/>
        <w:autoSpaceDN w:val="0"/>
        <w:adjustRightInd w:val="0"/>
        <w:spacing w:after="0" w:line="240" w:lineRule="auto"/>
        <w:jc w:val="both"/>
        <w:rPr>
          <w:rFonts w:ascii="Arial" w:hAnsi="Arial" w:cs="Arial"/>
          <w:b/>
          <w:bCs/>
          <w:color w:val="000000"/>
          <w:lang w:eastAsia="zh-CN"/>
        </w:rPr>
      </w:pPr>
      <w:r>
        <w:rPr>
          <w:rFonts w:ascii="Arial" w:hAnsi="Arial" w:cs="Arial"/>
          <w:b/>
          <w:bCs/>
          <w:color w:val="000000"/>
          <w:lang w:eastAsia="zh-CN"/>
        </w:rPr>
        <w:t>4.6. Formation of Savings and Credit Associations and Sustainability</w:t>
      </w:r>
    </w:p>
    <w:p w14:paraId="116BA700" w14:textId="747D6ED7"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Savings and Credit Associations Formation: Mature SHGs are encouraged to form Savings and Credit Association at the County level, selecting representatives and building collective advocacy and resource mobilization capacity. This enhances sustainability and provides a platform for larger-scale impact.</w:t>
      </w:r>
    </w:p>
    <w:p w14:paraId="0DFC9EF1" w14:textId="0FFA9A97" w:rsidR="00BE7029" w:rsidRDefault="0106BB69" w:rsidP="0106BB69">
      <w:pPr>
        <w:numPr>
          <w:ilvl w:val="0"/>
          <w:numId w:val="2"/>
        </w:numPr>
        <w:spacing w:after="0"/>
        <w:jc w:val="both"/>
        <w:rPr>
          <w:rFonts w:ascii="Arial" w:hAnsi="Arial" w:cs="Arial"/>
          <w:color w:val="000000"/>
          <w:lang w:eastAsia="zh-CN"/>
        </w:rPr>
      </w:pPr>
      <w:r w:rsidRPr="0106BB69">
        <w:rPr>
          <w:rFonts w:ascii="Arial" w:hAnsi="Arial" w:cs="Arial"/>
          <w:color w:val="000000" w:themeColor="text1"/>
          <w:lang w:eastAsia="zh-CN"/>
        </w:rPr>
        <w:t>Exit Strategy: Develop a clear plan for program withdrawal, ensuring SHGs and Savings Associations can function independently and maintain momentum post-support.</w:t>
      </w:r>
    </w:p>
    <w:p w14:paraId="71436DFA" w14:textId="77777777" w:rsidR="00BE7029" w:rsidRDefault="00000000">
      <w:pPr>
        <w:autoSpaceDE w:val="0"/>
        <w:autoSpaceDN w:val="0"/>
        <w:adjustRightInd w:val="0"/>
        <w:spacing w:after="0" w:line="240" w:lineRule="auto"/>
        <w:jc w:val="both"/>
        <w:rPr>
          <w:rFonts w:ascii="Arial" w:hAnsi="Arial" w:cs="Arial"/>
          <w:color w:val="000000"/>
          <w:lang w:eastAsia="zh-CN"/>
        </w:rPr>
      </w:pPr>
      <w:r>
        <w:rPr>
          <w:rFonts w:ascii="Arial" w:hAnsi="Arial" w:cs="Arial"/>
          <w:b/>
          <w:bCs/>
          <w:color w:val="000000"/>
          <w:lang w:eastAsia="zh-CN"/>
        </w:rPr>
        <w:lastRenderedPageBreak/>
        <w:t>4.7. Reporting and Recommendations</w:t>
      </w:r>
    </w:p>
    <w:p w14:paraId="054D8DEF" w14:textId="77777777" w:rsidR="00BE7029" w:rsidRDefault="00000000">
      <w:pPr>
        <w:numPr>
          <w:ilvl w:val="0"/>
          <w:numId w:val="2"/>
        </w:numPr>
        <w:spacing w:after="0"/>
        <w:jc w:val="both"/>
        <w:rPr>
          <w:rFonts w:ascii="Arial" w:hAnsi="Arial" w:cs="Arial"/>
          <w:color w:val="000000"/>
          <w:lang w:eastAsia="zh-CN"/>
        </w:rPr>
      </w:pPr>
      <w:r>
        <w:rPr>
          <w:rFonts w:ascii="Arial" w:hAnsi="Arial" w:cs="Arial"/>
          <w:color w:val="000000"/>
          <w:lang w:eastAsia="zh-CN"/>
        </w:rPr>
        <w:t>Periodic Progress Reports: Document findings, lessons learned, and recommendations for strengthening SHG support structures, capacity building, and future programming. Use both field data and feedback from stakeholders to inform continuous improvement.</w:t>
      </w:r>
    </w:p>
    <w:p w14:paraId="0F12FF83" w14:textId="77777777" w:rsidR="00BE7029" w:rsidRDefault="00BE7029">
      <w:pPr>
        <w:spacing w:after="0"/>
        <w:jc w:val="both"/>
        <w:rPr>
          <w:rFonts w:ascii="Aptos Display" w:eastAsia="Aptos Display" w:hAnsi="Aptos Display" w:cs="Arial"/>
        </w:rPr>
      </w:pPr>
    </w:p>
    <w:p w14:paraId="682FC92A" w14:textId="77777777" w:rsidR="00BE7029" w:rsidRDefault="00000000">
      <w:pPr>
        <w:spacing w:after="0"/>
        <w:jc w:val="both"/>
        <w:rPr>
          <w:rFonts w:ascii="Arial" w:hAnsi="Arial" w:cs="Arial"/>
          <w:color w:val="000000"/>
        </w:rPr>
      </w:pPr>
      <w:r>
        <w:rPr>
          <w:rFonts w:ascii="Arial" w:hAnsi="Arial" w:cs="Arial"/>
          <w:color w:val="000000"/>
          <w:lang w:eastAsia="zh-CN"/>
        </w:rPr>
        <w:t>A robust maturity assessment methodology for SHGs integrates participatory fieldwork, quantitative tracking, capacity assessments, and ongoing training and support. This ensures not only an accurate profile of each group’s development but also provides a roadmap for targeted interventions and long-term sustainability, with a special focus on women’s empowerment, economic resilience, and community development. Based on the above, the selected fifty (50) SHG which are deemed to be matured will be supported with capital injection in the form of grants to enable them to lend these to members for investment in viable economic enterprises.</w:t>
      </w:r>
    </w:p>
    <w:p w14:paraId="7D31C400" w14:textId="77777777" w:rsidR="00BE7029" w:rsidRDefault="00BE7029">
      <w:pPr>
        <w:autoSpaceDE w:val="0"/>
        <w:autoSpaceDN w:val="0"/>
        <w:adjustRightInd w:val="0"/>
        <w:spacing w:after="0" w:line="240" w:lineRule="auto"/>
        <w:jc w:val="both"/>
        <w:rPr>
          <w:rFonts w:ascii="Arial" w:hAnsi="Arial" w:cs="Arial"/>
          <w:b/>
          <w:bCs/>
          <w:color w:val="000000"/>
        </w:rPr>
      </w:pPr>
    </w:p>
    <w:p w14:paraId="2EB89ED4" w14:textId="77777777" w:rsidR="00BE7029" w:rsidRDefault="0000000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4. Expected Results</w:t>
      </w:r>
    </w:p>
    <w:p w14:paraId="1B522341" w14:textId="77777777" w:rsidR="00BE7029" w:rsidRDefault="00000000">
      <w:pPr>
        <w:numPr>
          <w:ilvl w:val="0"/>
          <w:numId w:val="3"/>
        </w:numPr>
        <w:spacing w:after="0"/>
        <w:jc w:val="both"/>
        <w:rPr>
          <w:rFonts w:ascii="Arial" w:hAnsi="Arial" w:cs="Arial"/>
          <w:color w:val="000000"/>
        </w:rPr>
      </w:pPr>
      <w:r>
        <w:rPr>
          <w:rFonts w:ascii="Arial" w:hAnsi="Arial" w:cs="Arial"/>
          <w:color w:val="000000"/>
        </w:rPr>
        <w:t>Increased Loan Access: The grant will enable SHGs to increase loan levels to members, supporting expansion of individual and group businesses.</w:t>
      </w:r>
    </w:p>
    <w:p w14:paraId="7432F0EB" w14:textId="77777777" w:rsidR="00BE7029" w:rsidRDefault="00000000">
      <w:pPr>
        <w:numPr>
          <w:ilvl w:val="0"/>
          <w:numId w:val="3"/>
        </w:numPr>
        <w:spacing w:after="0"/>
        <w:jc w:val="both"/>
        <w:rPr>
          <w:rFonts w:ascii="Arial" w:hAnsi="Arial" w:cs="Arial"/>
          <w:color w:val="000000"/>
        </w:rPr>
      </w:pPr>
      <w:r>
        <w:rPr>
          <w:rFonts w:ascii="Arial" w:hAnsi="Arial" w:cs="Arial"/>
          <w:color w:val="000000"/>
        </w:rPr>
        <w:t>Enhanced Capacity: SHGs will be trained in financial management, business planning, and group dynamics, boosting their operational efficiency.</w:t>
      </w:r>
    </w:p>
    <w:p w14:paraId="69112C27" w14:textId="77777777" w:rsidR="00BE7029" w:rsidRDefault="00000000">
      <w:pPr>
        <w:numPr>
          <w:ilvl w:val="0"/>
          <w:numId w:val="3"/>
        </w:numPr>
        <w:spacing w:after="0"/>
        <w:jc w:val="both"/>
        <w:rPr>
          <w:rFonts w:ascii="Arial" w:hAnsi="Arial" w:cs="Arial"/>
          <w:color w:val="000000"/>
        </w:rPr>
      </w:pPr>
      <w:r>
        <w:rPr>
          <w:rFonts w:ascii="Arial" w:hAnsi="Arial" w:cs="Arial"/>
          <w:color w:val="000000"/>
        </w:rPr>
        <w:t>Business Growth: Both individual and group enterprises will progress from small to larger scale, improving income and food security.</w:t>
      </w:r>
    </w:p>
    <w:p w14:paraId="5B163166" w14:textId="77777777" w:rsidR="00BE7029" w:rsidRDefault="00000000">
      <w:pPr>
        <w:numPr>
          <w:ilvl w:val="0"/>
          <w:numId w:val="3"/>
        </w:numPr>
        <w:spacing w:after="0"/>
        <w:jc w:val="both"/>
        <w:rPr>
          <w:rFonts w:ascii="Arial" w:hAnsi="Arial" w:cs="Arial"/>
          <w:color w:val="000000"/>
        </w:rPr>
      </w:pPr>
      <w:r>
        <w:rPr>
          <w:rFonts w:ascii="Arial" w:hAnsi="Arial" w:cs="Arial"/>
          <w:color w:val="000000"/>
        </w:rPr>
        <w:t>Formation of Savings and Credit Associations: The program will facilitate the establishment of Saving and Credit Associations, expanding financial access beyond SHG members to wider community actors, including cooperatives and farmers’ groups.</w:t>
      </w:r>
    </w:p>
    <w:p w14:paraId="36CAFF44" w14:textId="77777777" w:rsidR="00BE7029" w:rsidRDefault="00000000">
      <w:pPr>
        <w:numPr>
          <w:ilvl w:val="0"/>
          <w:numId w:val="3"/>
        </w:numPr>
        <w:spacing w:after="0"/>
        <w:jc w:val="both"/>
        <w:rPr>
          <w:rFonts w:ascii="Arial" w:hAnsi="Arial" w:cs="Arial"/>
          <w:color w:val="000000"/>
        </w:rPr>
      </w:pPr>
      <w:r>
        <w:rPr>
          <w:rFonts w:ascii="Arial" w:hAnsi="Arial" w:cs="Arial"/>
          <w:color w:val="000000"/>
        </w:rPr>
        <w:t>Strengthened Resilience: SHGs will demonstrate improved resilience and sustainability, contributing to broader market system development and community stability.</w:t>
      </w:r>
    </w:p>
    <w:p w14:paraId="261508D0" w14:textId="77777777" w:rsidR="00BE7029" w:rsidRDefault="00BE7029">
      <w:pPr>
        <w:autoSpaceDE w:val="0"/>
        <w:autoSpaceDN w:val="0"/>
        <w:adjustRightInd w:val="0"/>
        <w:spacing w:after="0" w:line="240" w:lineRule="auto"/>
        <w:jc w:val="both"/>
        <w:rPr>
          <w:rFonts w:ascii="Arial" w:hAnsi="Arial" w:cs="Arial"/>
          <w:b/>
          <w:bCs/>
          <w:color w:val="000000"/>
        </w:rPr>
      </w:pPr>
    </w:p>
    <w:p w14:paraId="1119DEE6" w14:textId="77777777" w:rsidR="00BE7029" w:rsidRDefault="0000000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5</w:t>
      </w:r>
      <w:proofErr w:type="gramStart"/>
      <w:r>
        <w:rPr>
          <w:rFonts w:ascii="Arial" w:hAnsi="Arial" w:cs="Arial"/>
          <w:b/>
          <w:bCs/>
          <w:color w:val="000000"/>
        </w:rPr>
        <w:t>. Required</w:t>
      </w:r>
      <w:proofErr w:type="gramEnd"/>
      <w:r>
        <w:rPr>
          <w:rFonts w:ascii="Arial" w:hAnsi="Arial" w:cs="Arial"/>
          <w:b/>
          <w:bCs/>
          <w:color w:val="000000"/>
        </w:rPr>
        <w:t xml:space="preserve"> Qualifications Experience and Skills</w:t>
      </w:r>
    </w:p>
    <w:p w14:paraId="177AA35B" w14:textId="18236F68" w:rsidR="00BE7029" w:rsidRDefault="0106BB69">
      <w:pPr>
        <w:pStyle w:val="ListParagraph"/>
        <w:numPr>
          <w:ilvl w:val="0"/>
          <w:numId w:val="4"/>
        </w:numPr>
        <w:autoSpaceDE w:val="0"/>
        <w:autoSpaceDN w:val="0"/>
        <w:adjustRightInd w:val="0"/>
        <w:spacing w:after="0" w:line="240" w:lineRule="auto"/>
        <w:jc w:val="both"/>
        <w:rPr>
          <w:rFonts w:ascii="Arial" w:hAnsi="Arial" w:cs="Arial"/>
          <w:color w:val="000000"/>
        </w:rPr>
      </w:pPr>
      <w:r w:rsidRPr="0106BB69">
        <w:rPr>
          <w:rFonts w:ascii="Arial" w:hAnsi="Arial" w:cs="Arial"/>
          <w:color w:val="000000" w:themeColor="text1"/>
        </w:rPr>
        <w:t>A bachelor's degree (or equivalent professional experience) in social sciences, Business Administration, Marketing, Economics or related fields.</w:t>
      </w:r>
    </w:p>
    <w:p w14:paraId="070E1451"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Proven experience in business development services, SME coaching, and adult learning in fragile or rural contexts.</w:t>
      </w:r>
    </w:p>
    <w:p w14:paraId="18D7E4C8"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Expertise in market systems development, financial inclusion, and cooperative/producer group strengthening.</w:t>
      </w:r>
    </w:p>
    <w:p w14:paraId="037D20E0"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Strong facilitation, mentoring, and participatory training skills. </w:t>
      </w:r>
    </w:p>
    <w:p w14:paraId="4305E5F0"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Familiarity with South Sudan or similar contexts preferred. </w:t>
      </w:r>
    </w:p>
    <w:p w14:paraId="4DEDE56C" w14:textId="77777777" w:rsidR="00BE7029" w:rsidRDefault="00000000">
      <w:pPr>
        <w:pStyle w:val="ListParagraph"/>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Additional Preferred Qualifications </w:t>
      </w:r>
    </w:p>
    <w:p w14:paraId="586EC122"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Previous consultancy experience with Mercy Corps or similar international organizations. </w:t>
      </w:r>
    </w:p>
    <w:p w14:paraId="4F9DB8C5"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Prior involvement in FSL and Market Systems Development (MSD)-related evaluation surveys. Familiarity with resilience measurement frameworks and approaches.</w:t>
      </w:r>
    </w:p>
    <w:p w14:paraId="7F458294" w14:textId="77777777" w:rsidR="00BE7029" w:rsidRDefault="00000000">
      <w:pPr>
        <w:pStyle w:val="ListParagraph"/>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Experience working in pastoral or fragile contexts, particularly within South Sudan and the Western Equatoria State. </w:t>
      </w:r>
    </w:p>
    <w:p w14:paraId="6CC4205F" w14:textId="77777777" w:rsidR="00BE7029" w:rsidRDefault="00BE7029">
      <w:pPr>
        <w:autoSpaceDE w:val="0"/>
        <w:autoSpaceDN w:val="0"/>
        <w:adjustRightInd w:val="0"/>
        <w:spacing w:after="0" w:line="240" w:lineRule="auto"/>
        <w:jc w:val="both"/>
        <w:rPr>
          <w:rFonts w:ascii="Arial" w:hAnsi="Arial" w:cs="Arial"/>
          <w:color w:val="000000"/>
        </w:rPr>
      </w:pPr>
    </w:p>
    <w:p w14:paraId="6D8E9BB9" w14:textId="77777777" w:rsidR="00BE7029" w:rsidRDefault="0000000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6. Duration of this Assignment </w:t>
      </w:r>
    </w:p>
    <w:p w14:paraId="1C8CCC23" w14:textId="6836D005" w:rsidR="00BE7029" w:rsidRDefault="0106BB69">
      <w:pPr>
        <w:autoSpaceDE w:val="0"/>
        <w:autoSpaceDN w:val="0"/>
        <w:adjustRightInd w:val="0"/>
        <w:spacing w:after="0" w:line="240" w:lineRule="auto"/>
        <w:jc w:val="both"/>
        <w:rPr>
          <w:rFonts w:ascii="Arial" w:hAnsi="Arial" w:cs="Arial"/>
          <w:color w:val="000000"/>
        </w:rPr>
      </w:pPr>
      <w:r w:rsidRPr="0106BB69">
        <w:rPr>
          <w:rFonts w:ascii="Arial" w:hAnsi="Arial" w:cs="Arial"/>
          <w:color w:val="000000" w:themeColor="text1"/>
        </w:rPr>
        <w:t>The consultancy is expected to last 60 working days over a three-month period, i.e. January - March 31</w:t>
      </w:r>
      <w:r w:rsidRPr="0106BB69">
        <w:rPr>
          <w:rFonts w:ascii="Arial" w:hAnsi="Arial" w:cs="Arial"/>
          <w:color w:val="000000" w:themeColor="text1"/>
          <w:vertAlign w:val="superscript"/>
        </w:rPr>
        <w:t>st</w:t>
      </w:r>
      <w:r w:rsidRPr="0106BB69">
        <w:rPr>
          <w:rFonts w:ascii="Arial" w:hAnsi="Arial" w:cs="Arial"/>
          <w:color w:val="000000" w:themeColor="text1"/>
        </w:rPr>
        <w:t xml:space="preserve">, </w:t>
      </w:r>
      <w:bookmarkStart w:id="0" w:name="_Int_HThrsAac"/>
      <w:r w:rsidRPr="0106BB69">
        <w:rPr>
          <w:rFonts w:ascii="Arial" w:hAnsi="Arial" w:cs="Arial"/>
          <w:color w:val="000000" w:themeColor="text1"/>
        </w:rPr>
        <w:t>2026</w:t>
      </w:r>
      <w:bookmarkEnd w:id="0"/>
      <w:r w:rsidRPr="0106BB69">
        <w:rPr>
          <w:rFonts w:ascii="Arial" w:hAnsi="Arial" w:cs="Arial"/>
          <w:color w:val="000000" w:themeColor="text1"/>
        </w:rPr>
        <w:t xml:space="preserve">.  </w:t>
      </w:r>
    </w:p>
    <w:p w14:paraId="2C25FA0B" w14:textId="77777777" w:rsidR="00BE7029" w:rsidRDefault="00BE7029">
      <w:pPr>
        <w:autoSpaceDE w:val="0"/>
        <w:autoSpaceDN w:val="0"/>
        <w:adjustRightInd w:val="0"/>
        <w:spacing w:after="0" w:line="240" w:lineRule="auto"/>
        <w:jc w:val="both"/>
        <w:rPr>
          <w:rFonts w:ascii="Arial" w:hAnsi="Arial" w:cs="Arial"/>
          <w:color w:val="000000"/>
        </w:rPr>
      </w:pPr>
    </w:p>
    <w:p w14:paraId="07D3BCC1" w14:textId="77777777" w:rsidR="00BE7029" w:rsidRDefault="0000000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7. Reporting Lines</w:t>
      </w:r>
    </w:p>
    <w:p w14:paraId="61263A31" w14:textId="77777777" w:rsidR="00BE7029"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Under the overall supervision of the Mercy Corps Country Director in conjunction with the technical direction from the Director of Program (</w:t>
      </w:r>
      <w:proofErr w:type="spellStart"/>
      <w:r>
        <w:rPr>
          <w:rFonts w:ascii="Arial" w:hAnsi="Arial" w:cs="Arial"/>
          <w:color w:val="000000"/>
        </w:rPr>
        <w:t>DoP</w:t>
      </w:r>
      <w:proofErr w:type="spellEnd"/>
      <w:r>
        <w:rPr>
          <w:rFonts w:ascii="Arial" w:hAnsi="Arial" w:cs="Arial"/>
          <w:color w:val="000000"/>
        </w:rPr>
        <w:t xml:space="preserve">), Food Security and Livelihoods (FSL) Technical Advisor and in close collaboration with other technical staff, the Consultant will be directly supervised by the STREAM II Program Manager in the performance of his duties under this assignment. </w:t>
      </w:r>
    </w:p>
    <w:p w14:paraId="37A7CFF7" w14:textId="77777777" w:rsidR="00BE7029" w:rsidRDefault="00BE7029">
      <w:pPr>
        <w:autoSpaceDE w:val="0"/>
        <w:autoSpaceDN w:val="0"/>
        <w:adjustRightInd w:val="0"/>
        <w:spacing w:after="0" w:line="240" w:lineRule="auto"/>
        <w:jc w:val="both"/>
        <w:rPr>
          <w:rFonts w:ascii="Arial" w:hAnsi="Arial" w:cs="Arial"/>
          <w:color w:val="000000"/>
        </w:rPr>
      </w:pPr>
    </w:p>
    <w:p w14:paraId="69637110" w14:textId="77777777" w:rsidR="00BE7029"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Hence, the consultant will report to the STREAM II Program Manager and work closely with STREAM II technical staff, local facilitators, cooperative leaders, and BDS group representatives. </w:t>
      </w:r>
    </w:p>
    <w:p w14:paraId="18716C20" w14:textId="77777777" w:rsidR="00BE7029" w:rsidRDefault="00BE7029">
      <w:pPr>
        <w:pStyle w:val="Heading1"/>
        <w:spacing w:before="0" w:line="240" w:lineRule="auto"/>
        <w:ind w:left="-5"/>
        <w:rPr>
          <w:rFonts w:ascii="Arial" w:eastAsia="Calibri" w:hAnsi="Arial" w:cs="Arial"/>
          <w:bCs/>
          <w:color w:val="000000"/>
          <w:sz w:val="22"/>
          <w:szCs w:val="22"/>
        </w:rPr>
      </w:pPr>
    </w:p>
    <w:p w14:paraId="74BF85DA" w14:textId="77777777" w:rsidR="00BE7029" w:rsidRDefault="00000000">
      <w:pPr>
        <w:pStyle w:val="Heading1"/>
        <w:spacing w:before="0" w:line="240" w:lineRule="auto"/>
        <w:ind w:left="-5"/>
        <w:rPr>
          <w:rFonts w:ascii="Arial" w:eastAsia="Calibri" w:hAnsi="Arial" w:cs="Arial"/>
          <w:bCs/>
          <w:color w:val="000000"/>
          <w:sz w:val="22"/>
          <w:szCs w:val="22"/>
        </w:rPr>
      </w:pPr>
      <w:r>
        <w:rPr>
          <w:rFonts w:ascii="Arial" w:eastAsia="Calibri" w:hAnsi="Arial" w:cs="Arial"/>
          <w:bCs/>
          <w:color w:val="000000"/>
          <w:sz w:val="22"/>
          <w:szCs w:val="22"/>
        </w:rPr>
        <w:t xml:space="preserve">8. Accountability to Participants and Stakeholders </w:t>
      </w:r>
    </w:p>
    <w:p w14:paraId="43EFD41A" w14:textId="77777777" w:rsidR="00BE7029" w:rsidRDefault="00000000">
      <w:pPr>
        <w:jc w:val="both"/>
        <w:rPr>
          <w:rFonts w:ascii="Arial" w:hAnsi="Arial" w:cs="Arial"/>
          <w:color w:val="000000"/>
        </w:rPr>
      </w:pPr>
      <w:r>
        <w:rPr>
          <w:rFonts w:ascii="Arial" w:hAnsi="Arial" w:cs="Arial"/>
          <w:color w:val="000000"/>
        </w:rPr>
        <w:t xml:space="preserve">Mercy Corps team members are expected to support all efforts toward accountability, specifically to our program participants, community partners, other stakeholders, and to international standards guiding international relief and development work. We are committed to actively engaging communities as equal partners in the design, monitoring and evaluation of our field projects. </w:t>
      </w:r>
    </w:p>
    <w:p w14:paraId="0B0F67FD" w14:textId="77777777" w:rsidR="00BE7029" w:rsidRDefault="00000000">
      <w:pPr>
        <w:spacing w:after="47" w:line="259" w:lineRule="auto"/>
        <w:jc w:val="both"/>
        <w:rPr>
          <w:rFonts w:ascii="Arial" w:hAnsi="Arial" w:cs="Arial"/>
          <w:b/>
          <w:bCs/>
        </w:rPr>
      </w:pPr>
      <w:r>
        <w:rPr>
          <w:rFonts w:ascii="Arial" w:hAnsi="Arial" w:cs="Arial"/>
          <w:b/>
          <w:bCs/>
        </w:rPr>
        <w:t xml:space="preserve">9. Equal Employment Opportunity </w:t>
      </w:r>
    </w:p>
    <w:p w14:paraId="6914FD25" w14:textId="77777777" w:rsidR="00BE7029" w:rsidRDefault="00000000">
      <w:pPr>
        <w:spacing w:after="166" w:line="264" w:lineRule="auto"/>
        <w:ind w:left="-5" w:hanging="10"/>
        <w:jc w:val="both"/>
        <w:rPr>
          <w:rFonts w:ascii="Arial" w:hAnsi="Arial" w:cs="Arial"/>
        </w:rPr>
      </w:pPr>
      <w:r>
        <w:rPr>
          <w:rFonts w:ascii="Arial" w:hAnsi="Arial" w:cs="Arial"/>
        </w:rPr>
        <w:t xml:space="preserve">Mercy Corps is an equal opportunity employer that does not tolerate discrimination on any basis. We actively seek out diverse backgrounds, perspectives, and skills so that we can be collectively stronger and have sustained global impact. We are committed to providing an environment of respect and psychological safety where equal employment opportunities are available to all. We do not engage in or tolerate discrimination based on race, </w:t>
      </w:r>
      <w:proofErr w:type="spellStart"/>
      <w:r>
        <w:rPr>
          <w:rFonts w:ascii="Arial" w:hAnsi="Arial" w:cs="Arial"/>
        </w:rPr>
        <w:t>colour</w:t>
      </w:r>
      <w:proofErr w:type="spellEnd"/>
      <w:r>
        <w:rPr>
          <w:rFonts w:ascii="Arial" w:hAnsi="Arial" w:cs="Arial"/>
        </w:rPr>
        <w:t xml:space="preserve">, gender identity, gender expression, religion, age, sexual orientation, national or ethnic origin, disability (including HIV/AIDS status), marital status, military veteran status or any other protected group in the locations where we work. </w:t>
      </w:r>
    </w:p>
    <w:p w14:paraId="65406309" w14:textId="77777777" w:rsidR="00BE7029" w:rsidRDefault="00000000">
      <w:pPr>
        <w:spacing w:after="52" w:line="259" w:lineRule="auto"/>
        <w:jc w:val="both"/>
        <w:rPr>
          <w:rFonts w:ascii="Arial" w:hAnsi="Arial" w:cs="Arial"/>
          <w:b/>
          <w:bCs/>
        </w:rPr>
      </w:pPr>
      <w:r>
        <w:rPr>
          <w:rFonts w:ascii="Arial" w:hAnsi="Arial" w:cs="Arial"/>
          <w:b/>
          <w:bCs/>
        </w:rPr>
        <w:t xml:space="preserve">10. Safeguarding and Ethics </w:t>
      </w:r>
    </w:p>
    <w:p w14:paraId="72242E01" w14:textId="77777777" w:rsidR="00BE7029" w:rsidRDefault="00000000">
      <w:pPr>
        <w:spacing w:after="5" w:line="264" w:lineRule="auto"/>
        <w:ind w:left="-5" w:hanging="10"/>
        <w:jc w:val="both"/>
        <w:rPr>
          <w:rFonts w:ascii="Arial" w:hAnsi="Arial" w:cs="Arial"/>
        </w:rPr>
      </w:pPr>
      <w:r>
        <w:rPr>
          <w:rFonts w:ascii="Arial" w:hAnsi="Arial" w:cs="Arial"/>
        </w:rPr>
        <w:t xml:space="preserve">Mercy Corps is committed to ensuring that all individuals we come into contact with through our work, whether team members, community members, program participants or others, are treated with respect and dignity. We are committed to the core principles regarding prevention of sexual exploitation and abuse laid out by the UN Secretary General and IASC. We will not tolerate child abuse, sexual exploitation, abuse, or harassment by or of our team members. As part of our commitment to a safe and inclusive work environment, team members are expected to conduct themselves in a professional manner, respect local laws and customs, and to adhere to </w:t>
      </w:r>
      <w:hyperlink r:id="rId13">
        <w:r w:rsidR="00BE7029">
          <w:rPr>
            <w:rFonts w:ascii="Arial" w:hAnsi="Arial" w:cs="Arial"/>
            <w:b/>
            <w:u w:val="single"/>
          </w:rPr>
          <w:t>Mercy Corps</w:t>
        </w:r>
      </w:hyperlink>
      <w:hyperlink r:id="rId14">
        <w:r w:rsidR="00BE7029">
          <w:rPr>
            <w:rFonts w:ascii="Arial" w:hAnsi="Arial" w:cs="Arial"/>
            <w:b/>
          </w:rPr>
          <w:t xml:space="preserve"> </w:t>
        </w:r>
      </w:hyperlink>
      <w:hyperlink r:id="rId15">
        <w:r w:rsidR="00BE7029">
          <w:rPr>
            <w:rFonts w:ascii="Arial" w:hAnsi="Arial" w:cs="Arial"/>
            <w:b/>
            <w:u w:val="single"/>
          </w:rPr>
          <w:t>Code of Conduct Policies</w:t>
        </w:r>
      </w:hyperlink>
      <w:hyperlink r:id="rId16">
        <w:r w:rsidR="00BE7029">
          <w:rPr>
            <w:rFonts w:ascii="Arial" w:hAnsi="Arial" w:cs="Arial"/>
          </w:rPr>
          <w:t xml:space="preserve"> </w:t>
        </w:r>
      </w:hyperlink>
      <w:r>
        <w:rPr>
          <w:rFonts w:ascii="Arial" w:hAnsi="Arial" w:cs="Arial"/>
        </w:rPr>
        <w:t xml:space="preserve">and values at all times. Team members are required to complete mandatory Code of Conduct eLearning courses upon hire and on an annual basis. </w:t>
      </w:r>
    </w:p>
    <w:p w14:paraId="361ABCC9" w14:textId="77777777" w:rsidR="00BE7029" w:rsidRDefault="00BE7029">
      <w:pPr>
        <w:spacing w:after="5" w:line="264" w:lineRule="auto"/>
        <w:ind w:left="-5" w:hanging="10"/>
        <w:jc w:val="both"/>
        <w:rPr>
          <w:rFonts w:ascii="Arial" w:hAnsi="Arial" w:cs="Arial"/>
        </w:rPr>
      </w:pPr>
    </w:p>
    <w:p w14:paraId="003D3DAC" w14:textId="77777777" w:rsidR="00BE7029" w:rsidRDefault="00000000">
      <w:pPr>
        <w:spacing w:after="5" w:line="264" w:lineRule="auto"/>
        <w:ind w:left="-5" w:hanging="10"/>
        <w:jc w:val="both"/>
        <w:rPr>
          <w:rFonts w:ascii="Arial" w:hAnsi="Arial" w:cs="Arial"/>
        </w:rPr>
      </w:pPr>
      <w:r>
        <w:rPr>
          <w:rFonts w:ascii="Arial" w:hAnsi="Arial" w:cs="Arial"/>
        </w:rPr>
        <w:t xml:space="preserve">Mercy Corps is an equal opportunity organization and encourages both female and male candidates to apply. Only shortlisted candidates will be contacted. Applicants will be considered on a rolling basis, and shortlisting will proceed as applications are reviewed. </w:t>
      </w:r>
    </w:p>
    <w:p w14:paraId="26E2542E" w14:textId="77777777" w:rsidR="00BE7029" w:rsidRDefault="00BE7029">
      <w:pPr>
        <w:autoSpaceDE w:val="0"/>
        <w:autoSpaceDN w:val="0"/>
        <w:adjustRightInd w:val="0"/>
        <w:spacing w:after="0" w:line="240" w:lineRule="auto"/>
        <w:jc w:val="both"/>
        <w:rPr>
          <w:rFonts w:ascii="Arial" w:hAnsi="Arial" w:cs="Arial"/>
          <w:b/>
          <w:bCs/>
          <w:color w:val="000000"/>
        </w:rPr>
      </w:pPr>
    </w:p>
    <w:p w14:paraId="6B7A5004" w14:textId="77777777" w:rsidR="00BE7029" w:rsidRDefault="00000000">
      <w:pPr>
        <w:autoSpaceDE w:val="0"/>
        <w:autoSpaceDN w:val="0"/>
        <w:adjustRightInd w:val="0"/>
        <w:spacing w:after="0" w:line="240" w:lineRule="auto"/>
        <w:rPr>
          <w:rFonts w:ascii="Arial" w:hAnsi="Arial" w:cs="Arial"/>
        </w:rPr>
      </w:pPr>
      <w:r>
        <w:rPr>
          <w:rFonts w:ascii="Arial" w:hAnsi="Arial" w:cs="Arial"/>
          <w:b/>
          <w:bCs/>
          <w:color w:val="000000"/>
        </w:rPr>
        <w:t>11. Submission:</w:t>
      </w:r>
    </w:p>
    <w:p w14:paraId="44D57146" w14:textId="43340729" w:rsidR="00BE7029" w:rsidRDefault="00000000">
      <w:pPr>
        <w:autoSpaceDE w:val="0"/>
        <w:autoSpaceDN w:val="0"/>
        <w:adjustRightInd w:val="0"/>
        <w:spacing w:after="0" w:line="240" w:lineRule="auto"/>
        <w:jc w:val="both"/>
        <w:rPr>
          <w:rFonts w:ascii="Arial" w:hAnsi="Arial" w:cs="Arial"/>
          <w:b/>
          <w:bCs/>
          <w:color w:val="000000"/>
        </w:rPr>
      </w:pPr>
      <w:r>
        <w:rPr>
          <w:rFonts w:ascii="Arial" w:hAnsi="Arial" w:cs="Arial"/>
        </w:rPr>
        <w:t xml:space="preserve">Submit your application not later than </w:t>
      </w:r>
      <w:r w:rsidR="00F04E70" w:rsidRPr="00F04E70">
        <w:rPr>
          <w:rFonts w:ascii="Arial" w:hAnsi="Arial" w:cs="Arial"/>
          <w:b/>
          <w:bCs/>
          <w:highlight w:val="yellow"/>
        </w:rPr>
        <w:t>Feb</w:t>
      </w:r>
      <w:r w:rsidRPr="00F04E70">
        <w:rPr>
          <w:rFonts w:ascii="Arial" w:hAnsi="Arial" w:cs="Arial"/>
          <w:b/>
          <w:bCs/>
          <w:highlight w:val="yellow"/>
        </w:rPr>
        <w:t xml:space="preserve"> </w:t>
      </w:r>
      <w:r w:rsidR="00F04E70" w:rsidRPr="00F04E70">
        <w:rPr>
          <w:rFonts w:ascii="Arial" w:hAnsi="Arial" w:cs="Arial"/>
          <w:b/>
          <w:bCs/>
          <w:highlight w:val="yellow"/>
        </w:rPr>
        <w:t>8</w:t>
      </w:r>
      <w:r w:rsidRPr="00F04E70">
        <w:rPr>
          <w:rFonts w:ascii="Arial" w:hAnsi="Arial" w:cs="Arial"/>
          <w:b/>
          <w:bCs/>
          <w:highlight w:val="yellow"/>
        </w:rPr>
        <w:t xml:space="preserve">, </w:t>
      </w:r>
      <w:proofErr w:type="gramStart"/>
      <w:r w:rsidRPr="00F04E70">
        <w:rPr>
          <w:rFonts w:ascii="Arial" w:hAnsi="Arial" w:cs="Arial"/>
          <w:b/>
          <w:bCs/>
          <w:highlight w:val="yellow"/>
        </w:rPr>
        <w:t>2026</w:t>
      </w:r>
      <w:proofErr w:type="gramEnd"/>
      <w:r>
        <w:rPr>
          <w:rFonts w:ascii="Arial" w:hAnsi="Arial" w:cs="Arial"/>
        </w:rPr>
        <w:t xml:space="preserve"> in a sealed envelope clearly marked: “Application for Consultancy Service for </w:t>
      </w:r>
      <w:r w:rsidR="00F04E70" w:rsidRPr="00F04E70">
        <w:rPr>
          <w:rFonts w:ascii="Arial" w:hAnsi="Arial" w:cs="Arial"/>
          <w:b/>
          <w:bCs/>
        </w:rPr>
        <w:t>SHG GRANT DISBURSEMENT</w:t>
      </w:r>
      <w:r w:rsidR="00F04E70">
        <w:rPr>
          <w:rFonts w:ascii="Arial" w:hAnsi="Arial" w:cs="Arial"/>
        </w:rPr>
        <w:t xml:space="preserve"> </w:t>
      </w:r>
      <w:r w:rsidRPr="00F04E70">
        <w:rPr>
          <w:rFonts w:ascii="Arial" w:hAnsi="Arial" w:cs="Arial"/>
          <w:b/>
          <w:bCs/>
        </w:rPr>
        <w:t>in Greater Mundri</w:t>
      </w:r>
      <w:r>
        <w:rPr>
          <w:rFonts w:ascii="Arial" w:hAnsi="Arial" w:cs="Arial"/>
        </w:rPr>
        <w:t>” to: “Mercy Corps, Mundri Office”, and please, ensure you sign-off the drop-off register accordingly.  Alternatively, you could submit electronically via email:</w:t>
      </w:r>
      <w:r w:rsidR="00F04E70">
        <w:rPr>
          <w:rFonts w:ascii="Arial" w:hAnsi="Arial" w:cs="Arial"/>
        </w:rPr>
        <w:t xml:space="preserve"> </w:t>
      </w:r>
      <w:hyperlink r:id="rId17" w:history="1">
        <w:r w:rsidR="00F04E70" w:rsidRPr="0031065F">
          <w:rPr>
            <w:rStyle w:val="Hyperlink"/>
            <w:rFonts w:ascii="Arial" w:hAnsi="Arial" w:cs="Arial"/>
            <w:i/>
            <w:iCs/>
          </w:rPr>
          <w:t>ss-pr@mercycorps.org</w:t>
        </w:r>
      </w:hyperlink>
      <w:r w:rsidR="00F04E70">
        <w:rPr>
          <w:rFonts w:ascii="Arial" w:hAnsi="Arial" w:cs="Arial"/>
          <w:i/>
          <w:iCs/>
          <w:color w:val="EE0000"/>
        </w:rPr>
        <w:t xml:space="preserve"> </w:t>
      </w:r>
      <w:r>
        <w:rPr>
          <w:rFonts w:ascii="Arial" w:hAnsi="Arial" w:cs="Arial"/>
          <w:color w:val="EE0000"/>
        </w:rPr>
        <w:t xml:space="preserve"> </w:t>
      </w:r>
      <w:r>
        <w:rPr>
          <w:rFonts w:ascii="Arial" w:hAnsi="Arial" w:cs="Arial"/>
        </w:rPr>
        <w:t xml:space="preserve">Mercy Corps will not be held responsible for any incidental </w:t>
      </w:r>
      <w:r>
        <w:rPr>
          <w:rFonts w:ascii="Arial" w:hAnsi="Arial" w:cs="Arial"/>
          <w:b/>
          <w:bCs/>
          <w:color w:val="000000"/>
        </w:rPr>
        <w:t xml:space="preserve">costs </w:t>
      </w:r>
      <w:r>
        <w:rPr>
          <w:rFonts w:ascii="Arial" w:hAnsi="Arial" w:cs="Arial"/>
        </w:rPr>
        <w:t xml:space="preserve">that the bidders may incur while preparing and submitting their application. </w:t>
      </w:r>
    </w:p>
    <w:sectPr w:rsidR="00BE7029">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8449" w14:textId="77777777" w:rsidR="00981CAF" w:rsidRDefault="00981CAF">
      <w:pPr>
        <w:spacing w:line="240" w:lineRule="auto"/>
      </w:pPr>
      <w:r>
        <w:separator/>
      </w:r>
    </w:p>
  </w:endnote>
  <w:endnote w:type="continuationSeparator" w:id="0">
    <w:p w14:paraId="424042C6" w14:textId="77777777" w:rsidR="00981CAF" w:rsidRDefault="00981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Gill Sans MT">
    <w:panose1 w:val="020B0502020104020203"/>
    <w:charset w:val="00"/>
    <w:family w:val="swiss"/>
    <w:pitch w:val="default"/>
    <w:sig w:usb0="00000003" w:usb1="00000000" w:usb2="00000000" w:usb3="00000000" w:csb0="20000003"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4F2" w14:textId="77777777" w:rsidR="00BE7029" w:rsidRDefault="00000000">
    <w:pPr>
      <w:tabs>
        <w:tab w:val="center" w:pos="4680"/>
        <w:tab w:val="right" w:pos="9360"/>
      </w:tabs>
      <w:spacing w:after="0" w:line="240" w:lineRule="auto"/>
      <w:rPr>
        <w:color w:val="666666"/>
      </w:rPr>
    </w:pPr>
    <w:r>
      <w:rPr>
        <w:color w:val="666666"/>
        <w:sz w:val="20"/>
        <w:szCs w:val="20"/>
      </w:rPr>
      <w:tab/>
      <w:t xml:space="preserve">                Page </w:t>
    </w:r>
    <w:r>
      <w:rPr>
        <w:color w:val="666666"/>
        <w:sz w:val="20"/>
        <w:szCs w:val="20"/>
      </w:rPr>
      <w:fldChar w:fldCharType="begin"/>
    </w:r>
    <w:r>
      <w:rPr>
        <w:color w:val="666666"/>
        <w:sz w:val="20"/>
        <w:szCs w:val="20"/>
      </w:rPr>
      <w:instrText>PAGE</w:instrText>
    </w:r>
    <w:r>
      <w:rPr>
        <w:color w:val="666666"/>
        <w:sz w:val="20"/>
        <w:szCs w:val="20"/>
      </w:rPr>
      <w:fldChar w:fldCharType="separate"/>
    </w:r>
    <w:r>
      <w:rPr>
        <w:color w:val="666666"/>
        <w:sz w:val="20"/>
        <w:szCs w:val="20"/>
      </w:rPr>
      <w:t>12</w:t>
    </w:r>
    <w:r>
      <w:rPr>
        <w:color w:val="666666"/>
        <w:sz w:val="20"/>
        <w:szCs w:val="20"/>
      </w:rPr>
      <w:fldChar w:fldCharType="end"/>
    </w:r>
    <w:r>
      <w:rPr>
        <w:color w:val="66666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452440"/>
    </w:sdtPr>
    <w:sdtContent>
      <w:p w14:paraId="0898E10D" w14:textId="77777777" w:rsidR="00BE7029" w:rsidRDefault="00000000">
        <w:pPr>
          <w:pStyle w:val="Footer"/>
          <w:jc w:val="center"/>
        </w:pPr>
        <w:r>
          <w:rPr>
            <w:noProof/>
          </w:rPr>
          <mc:AlternateContent>
            <mc:Choice Requires="wps">
              <w:drawing>
                <wp:inline distT="0" distB="0" distL="0" distR="0" wp14:anchorId="633EE930" wp14:editId="07777777">
                  <wp:extent cx="5467350" cy="45085"/>
                  <wp:effectExtent l="9525" t="9525" r="0" b="2540"/>
                  <wp:docPr id="1634507643"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a="http://schemas.openxmlformats.org/drawingml/2006/main" xmlns:wp14="http://schemas.microsoft.com/office/word/2010/wordml">
              <w:pict w14:anchorId="54C4281D">
                <v:shape id="Flowchart: Decision 1" style="flip:y;height:3.55pt;width:430.5pt;" alt="Light horizontal" coordsize="21600,21600" o:spid="_x0000_s1026" filled="t" fillcolor="#000000" stroked="f" o:spt="110" type="#_x0000_t110" o:gfxdata="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j3shy1AAAAAMBAAAPAAAA&#10;AAAAAAEAIAAAACIAAABkcnMvZG93bnJldi54bWxQSwECFAAUAAAACACHTuJA3g2rIVICAAC2BAAA&#10;DgAAAAAAAAABACAAAAAjAQAAZHJzL2Uyb0RvYy54bWxQSwUGAAAAAAYABgBZAQAA5wUAAAAA&#10;">
                  <v:fill type="pattern" on="t" color2="#FFFFFF" focussize="0,0" o:title="Light Horizontal" r:id="rId1"/>
                  <v:stroke on="f"/>
                  <v:imagedata o:title=""/>
                  <o:lock v:ext="edit" aspectratio="f"/>
                  <w10:wrap type="none"/>
                  <w10:anchorlock/>
                </v:shape>
              </w:pict>
            </mc:Fallback>
          </mc:AlternateContent>
        </w:r>
      </w:p>
      <w:p w14:paraId="6BFE5F4D" w14:textId="77777777" w:rsidR="00BE7029" w:rsidRDefault="00000000">
        <w:pPr>
          <w:pStyle w:val="Footer"/>
          <w:jc w:val="center"/>
        </w:pPr>
        <w:r>
          <w:fldChar w:fldCharType="begin"/>
        </w:r>
        <w:r>
          <w:instrText xml:space="preserve"> PAGE    \* MERGEFORMAT </w:instrText>
        </w:r>
        <w:r>
          <w:fldChar w:fldCharType="separate"/>
        </w:r>
        <w:r>
          <w:t>2</w:t>
        </w:r>
        <w:r>
          <w:fldChar w:fldCharType="end"/>
        </w:r>
      </w:p>
    </w:sdtContent>
  </w:sdt>
  <w:p w14:paraId="60D78605" w14:textId="77777777" w:rsidR="00BE7029" w:rsidRDefault="00BE7029">
    <w:pPr>
      <w:tabs>
        <w:tab w:val="center" w:pos="4680"/>
        <w:tab w:val="right" w:pos="9360"/>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D4FD" w14:textId="77777777" w:rsidR="00981CAF" w:rsidRDefault="00981CAF">
      <w:pPr>
        <w:spacing w:after="0"/>
      </w:pPr>
      <w:r>
        <w:separator/>
      </w:r>
    </w:p>
  </w:footnote>
  <w:footnote w:type="continuationSeparator" w:id="0">
    <w:p w14:paraId="7D5E3435" w14:textId="77777777" w:rsidR="00981CAF" w:rsidRDefault="00981C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45E" w14:textId="77777777" w:rsidR="00BE7029" w:rsidRDefault="00000000">
    <w:pPr>
      <w:tabs>
        <w:tab w:val="left" w:pos="3165"/>
      </w:tabs>
      <w:spacing w:after="0" w:line="240" w:lineRule="auto"/>
      <w:rPr>
        <w:color w:val="000000"/>
      </w:rPr>
    </w:pPr>
    <w:r>
      <w:rPr>
        <w:color w:val="000000"/>
        <w:sz w:val="20"/>
        <w:szCs w:val="20"/>
      </w:rPr>
      <w:tab/>
    </w:r>
    <w:r>
      <w:rPr>
        <w:color w:val="000000"/>
        <w:sz w:val="20"/>
        <w:szCs w:val="20"/>
      </w:rPr>
      <w:tab/>
    </w:r>
    <w:r>
      <w:rPr>
        <w:color w:val="00000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AC0" w14:textId="77777777" w:rsidR="00BE7029" w:rsidRDefault="00000000">
    <w:pPr>
      <w:tabs>
        <w:tab w:val="center" w:pos="4680"/>
        <w:tab w:val="right" w:pos="9360"/>
      </w:tabs>
      <w:spacing w:after="0" w:line="240" w:lineRule="auto"/>
      <w:jc w:val="right"/>
      <w:rPr>
        <w:rFonts w:ascii="Arial" w:eastAsia="Arial" w:hAnsi="Arial" w:cs="Arial"/>
        <w:color w:val="000000"/>
      </w:rPr>
    </w:pPr>
    <w:r>
      <w:rPr>
        <w:noProof/>
      </w:rPr>
      <w:drawing>
        <wp:anchor distT="0" distB="0" distL="114300" distR="114300" simplePos="0" relativeHeight="251660288" behindDoc="0" locked="0" layoutInCell="1" allowOverlap="1" wp14:anchorId="69C5C4B2" wp14:editId="07777777">
          <wp:simplePos x="0" y="0"/>
          <wp:positionH relativeFrom="column">
            <wp:posOffset>101600</wp:posOffset>
          </wp:positionH>
          <wp:positionV relativeFrom="paragraph">
            <wp:posOffset>-107315</wp:posOffset>
          </wp:positionV>
          <wp:extent cx="1581785" cy="5207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1581785" cy="520700"/>
                  </a:xfrm>
                  <a:prstGeom prst="rect">
                    <a:avLst/>
                  </a:prstGeom>
                </pic:spPr>
              </pic:pic>
            </a:graphicData>
          </a:graphic>
        </wp:anchor>
      </w:drawing>
    </w:r>
  </w:p>
  <w:p w14:paraId="168204DB" w14:textId="77777777" w:rsidR="00BE7029" w:rsidRDefault="00BE7029">
    <w:pPr>
      <w:tabs>
        <w:tab w:val="center" w:pos="4680"/>
        <w:tab w:val="right" w:pos="9360"/>
      </w:tabs>
      <w:spacing w:after="0" w:line="240" w:lineRule="auto"/>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Peyzr8Nii37uun" int2:id="4Nhdobtg">
      <int2:state int2:value="Rejected" int2:type="spell"/>
    </int2:textHash>
    <int2:bookmark int2:bookmarkName="_Int_HThrsAac" int2:invalidationBookmarkName="" int2:hashCode="ruZVdz2Fb7A4U2" int2:id="m7scAcM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4728E"/>
    <w:multiLevelType w:val="singleLevel"/>
    <w:tmpl w:val="9184728E"/>
    <w:lvl w:ilvl="0">
      <w:start w:val="1"/>
      <w:numFmt w:val="bullet"/>
      <w:lvlText w:val=""/>
      <w:lvlJc w:val="left"/>
      <w:pPr>
        <w:tabs>
          <w:tab w:val="left" w:pos="840"/>
        </w:tabs>
        <w:ind w:left="840" w:hanging="420"/>
      </w:pPr>
      <w:rPr>
        <w:rFonts w:ascii="Symbol" w:hAnsi="Symbol" w:hint="default"/>
        <w:sz w:val="16"/>
      </w:rPr>
    </w:lvl>
  </w:abstractNum>
  <w:abstractNum w:abstractNumId="1" w15:restartNumberingAfterBreak="0">
    <w:nsid w:val="F6476697"/>
    <w:multiLevelType w:val="multilevel"/>
    <w:tmpl w:val="F6476697"/>
    <w:lvl w:ilvl="0">
      <w:start w:val="1"/>
      <w:numFmt w:val="bullet"/>
      <w:lvlText w:val=""/>
      <w:lvlJc w:val="left"/>
      <w:pPr>
        <w:tabs>
          <w:tab w:val="left" w:pos="720"/>
        </w:tabs>
        <w:ind w:left="720" w:hanging="360"/>
      </w:pPr>
      <w:rPr>
        <w:rFonts w:ascii="Symbol" w:hAnsi="Symbol" w:cs="Symbol" w:hint="default"/>
        <w:sz w:val="20"/>
      </w:rPr>
    </w:lvl>
    <w:lvl w:ilvl="1">
      <w:start w:val="8"/>
      <w:numFmt w:val="decimal"/>
      <w:lvlText w:val="%2."/>
      <w:lvlJc w:val="left"/>
      <w:pPr>
        <w:ind w:left="1440" w:hanging="360"/>
      </w:pPr>
      <w:rPr>
        <w:b w:val="0"/>
        <w:sz w:val="22"/>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20662B09"/>
    <w:multiLevelType w:val="multilevel"/>
    <w:tmpl w:val="20662B0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B1F3644"/>
    <w:multiLevelType w:val="multilevel"/>
    <w:tmpl w:val="7B1F3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5499428">
    <w:abstractNumId w:val="2"/>
  </w:num>
  <w:num w:numId="2" w16cid:durableId="971596123">
    <w:abstractNumId w:val="0"/>
  </w:num>
  <w:num w:numId="3" w16cid:durableId="2084179438">
    <w:abstractNumId w:val="1"/>
  </w:num>
  <w:num w:numId="4" w16cid:durableId="1436094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7"/>
    <w:rsid w:val="00012A72"/>
    <w:rsid w:val="00012CAC"/>
    <w:rsid w:val="000205F4"/>
    <w:rsid w:val="000214CE"/>
    <w:rsid w:val="000335F4"/>
    <w:rsid w:val="00033BE6"/>
    <w:rsid w:val="000401DB"/>
    <w:rsid w:val="00051813"/>
    <w:rsid w:val="000634AC"/>
    <w:rsid w:val="0008354E"/>
    <w:rsid w:val="000846CE"/>
    <w:rsid w:val="00087330"/>
    <w:rsid w:val="00091587"/>
    <w:rsid w:val="0009358A"/>
    <w:rsid w:val="00093C73"/>
    <w:rsid w:val="00096430"/>
    <w:rsid w:val="000A3CD2"/>
    <w:rsid w:val="000A54DB"/>
    <w:rsid w:val="000A66D3"/>
    <w:rsid w:val="000A718F"/>
    <w:rsid w:val="000D682C"/>
    <w:rsid w:val="000E2830"/>
    <w:rsid w:val="000E2FC6"/>
    <w:rsid w:val="000F2C3B"/>
    <w:rsid w:val="0012334E"/>
    <w:rsid w:val="00132877"/>
    <w:rsid w:val="00134A1A"/>
    <w:rsid w:val="00143701"/>
    <w:rsid w:val="0017240E"/>
    <w:rsid w:val="00177CE4"/>
    <w:rsid w:val="001815CB"/>
    <w:rsid w:val="00184F9B"/>
    <w:rsid w:val="00190E33"/>
    <w:rsid w:val="0019659F"/>
    <w:rsid w:val="001A1775"/>
    <w:rsid w:val="001A2E21"/>
    <w:rsid w:val="001A5245"/>
    <w:rsid w:val="001B7CB8"/>
    <w:rsid w:val="001F1615"/>
    <w:rsid w:val="001F54FE"/>
    <w:rsid w:val="001F6DD8"/>
    <w:rsid w:val="00225B07"/>
    <w:rsid w:val="002408F9"/>
    <w:rsid w:val="00267EDD"/>
    <w:rsid w:val="002809CC"/>
    <w:rsid w:val="00285A82"/>
    <w:rsid w:val="00285E8D"/>
    <w:rsid w:val="00291F5D"/>
    <w:rsid w:val="002A050A"/>
    <w:rsid w:val="002B245E"/>
    <w:rsid w:val="002B4565"/>
    <w:rsid w:val="002B6E0B"/>
    <w:rsid w:val="002D4D5E"/>
    <w:rsid w:val="002E3D91"/>
    <w:rsid w:val="002E5582"/>
    <w:rsid w:val="002F163E"/>
    <w:rsid w:val="0030306D"/>
    <w:rsid w:val="003112E6"/>
    <w:rsid w:val="0031347B"/>
    <w:rsid w:val="003321BB"/>
    <w:rsid w:val="00334AB8"/>
    <w:rsid w:val="003412A4"/>
    <w:rsid w:val="003604EE"/>
    <w:rsid w:val="003614A9"/>
    <w:rsid w:val="00364AEA"/>
    <w:rsid w:val="00372C0A"/>
    <w:rsid w:val="00384083"/>
    <w:rsid w:val="0039550B"/>
    <w:rsid w:val="003B7F3F"/>
    <w:rsid w:val="003C2D2A"/>
    <w:rsid w:val="003D3B29"/>
    <w:rsid w:val="003D3BF8"/>
    <w:rsid w:val="003E59C5"/>
    <w:rsid w:val="003E6782"/>
    <w:rsid w:val="003F31EB"/>
    <w:rsid w:val="00400E0B"/>
    <w:rsid w:val="00405DDE"/>
    <w:rsid w:val="00411C6D"/>
    <w:rsid w:val="00413EAF"/>
    <w:rsid w:val="00415426"/>
    <w:rsid w:val="00431A12"/>
    <w:rsid w:val="00436149"/>
    <w:rsid w:val="00456077"/>
    <w:rsid w:val="004744B5"/>
    <w:rsid w:val="00483879"/>
    <w:rsid w:val="004866A9"/>
    <w:rsid w:val="004B0587"/>
    <w:rsid w:val="004B4114"/>
    <w:rsid w:val="004C3CBC"/>
    <w:rsid w:val="004D41CF"/>
    <w:rsid w:val="004D64F2"/>
    <w:rsid w:val="004E0D4A"/>
    <w:rsid w:val="0051407C"/>
    <w:rsid w:val="0052108D"/>
    <w:rsid w:val="005261FD"/>
    <w:rsid w:val="00533F2C"/>
    <w:rsid w:val="00547ED6"/>
    <w:rsid w:val="00571067"/>
    <w:rsid w:val="005751A1"/>
    <w:rsid w:val="0058213A"/>
    <w:rsid w:val="00582EA1"/>
    <w:rsid w:val="00585DF6"/>
    <w:rsid w:val="00590639"/>
    <w:rsid w:val="005971CF"/>
    <w:rsid w:val="005A66D3"/>
    <w:rsid w:val="005B695D"/>
    <w:rsid w:val="005C1FB4"/>
    <w:rsid w:val="005C5774"/>
    <w:rsid w:val="005C612F"/>
    <w:rsid w:val="0061184B"/>
    <w:rsid w:val="00615562"/>
    <w:rsid w:val="00623015"/>
    <w:rsid w:val="0063043D"/>
    <w:rsid w:val="00630440"/>
    <w:rsid w:val="006373CC"/>
    <w:rsid w:val="00646F8F"/>
    <w:rsid w:val="006547C4"/>
    <w:rsid w:val="00667245"/>
    <w:rsid w:val="006800D4"/>
    <w:rsid w:val="006816D6"/>
    <w:rsid w:val="00691452"/>
    <w:rsid w:val="00696B1B"/>
    <w:rsid w:val="0069779E"/>
    <w:rsid w:val="006A1A5B"/>
    <w:rsid w:val="006B2626"/>
    <w:rsid w:val="006C6817"/>
    <w:rsid w:val="006D4391"/>
    <w:rsid w:val="006E49DF"/>
    <w:rsid w:val="006E72A7"/>
    <w:rsid w:val="006F706D"/>
    <w:rsid w:val="007051BA"/>
    <w:rsid w:val="0071261C"/>
    <w:rsid w:val="00745181"/>
    <w:rsid w:val="00751166"/>
    <w:rsid w:val="00752204"/>
    <w:rsid w:val="00757B8D"/>
    <w:rsid w:val="0077443F"/>
    <w:rsid w:val="00794C41"/>
    <w:rsid w:val="00796AB7"/>
    <w:rsid w:val="007B7375"/>
    <w:rsid w:val="007C1074"/>
    <w:rsid w:val="007C2334"/>
    <w:rsid w:val="007E34A6"/>
    <w:rsid w:val="007F6C15"/>
    <w:rsid w:val="00820C2B"/>
    <w:rsid w:val="00823FFD"/>
    <w:rsid w:val="00825E44"/>
    <w:rsid w:val="00857263"/>
    <w:rsid w:val="0086409B"/>
    <w:rsid w:val="00876F65"/>
    <w:rsid w:val="008816DC"/>
    <w:rsid w:val="00887A13"/>
    <w:rsid w:val="00891876"/>
    <w:rsid w:val="00896916"/>
    <w:rsid w:val="008C0DDD"/>
    <w:rsid w:val="008E6F59"/>
    <w:rsid w:val="008F0531"/>
    <w:rsid w:val="00902BE0"/>
    <w:rsid w:val="009131DD"/>
    <w:rsid w:val="00917602"/>
    <w:rsid w:val="00925038"/>
    <w:rsid w:val="00926210"/>
    <w:rsid w:val="0093428C"/>
    <w:rsid w:val="0094559A"/>
    <w:rsid w:val="00954F79"/>
    <w:rsid w:val="0096F5E4"/>
    <w:rsid w:val="00981CAF"/>
    <w:rsid w:val="0098455A"/>
    <w:rsid w:val="00987944"/>
    <w:rsid w:val="00995C1B"/>
    <w:rsid w:val="009A7BEA"/>
    <w:rsid w:val="009B0C52"/>
    <w:rsid w:val="009B46FD"/>
    <w:rsid w:val="009E3193"/>
    <w:rsid w:val="009E7F03"/>
    <w:rsid w:val="009F0421"/>
    <w:rsid w:val="009F5156"/>
    <w:rsid w:val="009F59FF"/>
    <w:rsid w:val="00A005B8"/>
    <w:rsid w:val="00A00ECB"/>
    <w:rsid w:val="00A255DD"/>
    <w:rsid w:val="00A31126"/>
    <w:rsid w:val="00A334C7"/>
    <w:rsid w:val="00A33911"/>
    <w:rsid w:val="00A369AB"/>
    <w:rsid w:val="00A45DA1"/>
    <w:rsid w:val="00AC710F"/>
    <w:rsid w:val="00AE5FE4"/>
    <w:rsid w:val="00AF57E6"/>
    <w:rsid w:val="00AF5F44"/>
    <w:rsid w:val="00B23FD0"/>
    <w:rsid w:val="00B36AFE"/>
    <w:rsid w:val="00B403D1"/>
    <w:rsid w:val="00B572C4"/>
    <w:rsid w:val="00B64DFD"/>
    <w:rsid w:val="00B7717F"/>
    <w:rsid w:val="00B80BD9"/>
    <w:rsid w:val="00B812F2"/>
    <w:rsid w:val="00B81BB6"/>
    <w:rsid w:val="00B8269B"/>
    <w:rsid w:val="00B83308"/>
    <w:rsid w:val="00B97391"/>
    <w:rsid w:val="00BA1AD6"/>
    <w:rsid w:val="00BD1BF6"/>
    <w:rsid w:val="00BD1D5F"/>
    <w:rsid w:val="00BE33CF"/>
    <w:rsid w:val="00BE7029"/>
    <w:rsid w:val="00C02B7A"/>
    <w:rsid w:val="00C042B4"/>
    <w:rsid w:val="00C123C9"/>
    <w:rsid w:val="00C140B0"/>
    <w:rsid w:val="00C21389"/>
    <w:rsid w:val="00C30772"/>
    <w:rsid w:val="00C52D3E"/>
    <w:rsid w:val="00C52D8A"/>
    <w:rsid w:val="00C628FC"/>
    <w:rsid w:val="00C6861A"/>
    <w:rsid w:val="00C83985"/>
    <w:rsid w:val="00C85A22"/>
    <w:rsid w:val="00CA23BB"/>
    <w:rsid w:val="00CD440A"/>
    <w:rsid w:val="00CD4D08"/>
    <w:rsid w:val="00CF1529"/>
    <w:rsid w:val="00CF1BDC"/>
    <w:rsid w:val="00CF3521"/>
    <w:rsid w:val="00D00032"/>
    <w:rsid w:val="00D04544"/>
    <w:rsid w:val="00D216D7"/>
    <w:rsid w:val="00D3174D"/>
    <w:rsid w:val="00D33EF6"/>
    <w:rsid w:val="00D41512"/>
    <w:rsid w:val="00D46EB8"/>
    <w:rsid w:val="00D56E1A"/>
    <w:rsid w:val="00D80C86"/>
    <w:rsid w:val="00D92734"/>
    <w:rsid w:val="00DA4BE3"/>
    <w:rsid w:val="00DA768D"/>
    <w:rsid w:val="00DB03A6"/>
    <w:rsid w:val="00DB1AE3"/>
    <w:rsid w:val="00DB31A4"/>
    <w:rsid w:val="00DC07C1"/>
    <w:rsid w:val="00DC3476"/>
    <w:rsid w:val="00DD133F"/>
    <w:rsid w:val="00DD784B"/>
    <w:rsid w:val="00DE38D0"/>
    <w:rsid w:val="00DF011B"/>
    <w:rsid w:val="00DF4028"/>
    <w:rsid w:val="00DF5DA2"/>
    <w:rsid w:val="00E02F95"/>
    <w:rsid w:val="00E05017"/>
    <w:rsid w:val="00E14149"/>
    <w:rsid w:val="00E16E11"/>
    <w:rsid w:val="00E21E37"/>
    <w:rsid w:val="00E25D12"/>
    <w:rsid w:val="00E31BDB"/>
    <w:rsid w:val="00E75FAF"/>
    <w:rsid w:val="00E84A04"/>
    <w:rsid w:val="00EB0AE9"/>
    <w:rsid w:val="00EB278E"/>
    <w:rsid w:val="00ED6A4D"/>
    <w:rsid w:val="00EE02D8"/>
    <w:rsid w:val="00EE658E"/>
    <w:rsid w:val="00F04E70"/>
    <w:rsid w:val="00F31541"/>
    <w:rsid w:val="00F45420"/>
    <w:rsid w:val="00F50FF6"/>
    <w:rsid w:val="00F90E41"/>
    <w:rsid w:val="00FB1095"/>
    <w:rsid w:val="00FC3CF3"/>
    <w:rsid w:val="00FC4BDB"/>
    <w:rsid w:val="00FF0AA5"/>
    <w:rsid w:val="00FF0C40"/>
    <w:rsid w:val="0106BB69"/>
    <w:rsid w:val="016E3DB8"/>
    <w:rsid w:val="01C284CC"/>
    <w:rsid w:val="02336AE4"/>
    <w:rsid w:val="02453837"/>
    <w:rsid w:val="024D7B8A"/>
    <w:rsid w:val="03EAB3C2"/>
    <w:rsid w:val="03F43DF4"/>
    <w:rsid w:val="03F60E81"/>
    <w:rsid w:val="042511DD"/>
    <w:rsid w:val="043CDE9D"/>
    <w:rsid w:val="054EBBA2"/>
    <w:rsid w:val="05890287"/>
    <w:rsid w:val="05A1FB7A"/>
    <w:rsid w:val="05A95A99"/>
    <w:rsid w:val="05B3D259"/>
    <w:rsid w:val="0635120B"/>
    <w:rsid w:val="0664F43D"/>
    <w:rsid w:val="0674A20D"/>
    <w:rsid w:val="06CED67B"/>
    <w:rsid w:val="0881E915"/>
    <w:rsid w:val="08B7AECF"/>
    <w:rsid w:val="09739D6C"/>
    <w:rsid w:val="0AAB98DA"/>
    <w:rsid w:val="0AEA5C5F"/>
    <w:rsid w:val="0B452549"/>
    <w:rsid w:val="0B822635"/>
    <w:rsid w:val="0BB574D5"/>
    <w:rsid w:val="0BC6E1A8"/>
    <w:rsid w:val="0BE0A95A"/>
    <w:rsid w:val="0BFC7858"/>
    <w:rsid w:val="0C5E14BD"/>
    <w:rsid w:val="0D7B773A"/>
    <w:rsid w:val="0DBAA7CC"/>
    <w:rsid w:val="0EBE3DE1"/>
    <w:rsid w:val="0F6D97CC"/>
    <w:rsid w:val="100F501B"/>
    <w:rsid w:val="109A7493"/>
    <w:rsid w:val="109E09F5"/>
    <w:rsid w:val="1125D345"/>
    <w:rsid w:val="115FA615"/>
    <w:rsid w:val="11B23E29"/>
    <w:rsid w:val="11EB92CD"/>
    <w:rsid w:val="122CC1DE"/>
    <w:rsid w:val="12325E43"/>
    <w:rsid w:val="1279070F"/>
    <w:rsid w:val="12CBD91E"/>
    <w:rsid w:val="12CED8CA"/>
    <w:rsid w:val="12F21B26"/>
    <w:rsid w:val="13047669"/>
    <w:rsid w:val="131FE438"/>
    <w:rsid w:val="133846E0"/>
    <w:rsid w:val="1394C65D"/>
    <w:rsid w:val="13BDC174"/>
    <w:rsid w:val="14DD1DBB"/>
    <w:rsid w:val="15335AEB"/>
    <w:rsid w:val="1585B9D5"/>
    <w:rsid w:val="15944A45"/>
    <w:rsid w:val="16C02992"/>
    <w:rsid w:val="16D8453B"/>
    <w:rsid w:val="16EC6F13"/>
    <w:rsid w:val="1733F194"/>
    <w:rsid w:val="1757E84D"/>
    <w:rsid w:val="178CBFA6"/>
    <w:rsid w:val="17F84E2C"/>
    <w:rsid w:val="18E13278"/>
    <w:rsid w:val="19528516"/>
    <w:rsid w:val="19857D69"/>
    <w:rsid w:val="199C9963"/>
    <w:rsid w:val="199E94E6"/>
    <w:rsid w:val="19CFEFB9"/>
    <w:rsid w:val="19EBC1AA"/>
    <w:rsid w:val="1A98B778"/>
    <w:rsid w:val="1A9D0E22"/>
    <w:rsid w:val="1AEBC94B"/>
    <w:rsid w:val="1AF5DE7F"/>
    <w:rsid w:val="1AF86AF7"/>
    <w:rsid w:val="1B152B9D"/>
    <w:rsid w:val="1B4F9F5B"/>
    <w:rsid w:val="1C397F30"/>
    <w:rsid w:val="1C79A3D4"/>
    <w:rsid w:val="1CDC1BC0"/>
    <w:rsid w:val="1D26CEB3"/>
    <w:rsid w:val="1D4865CF"/>
    <w:rsid w:val="1D62F061"/>
    <w:rsid w:val="1D708901"/>
    <w:rsid w:val="1D8AEF27"/>
    <w:rsid w:val="1D9442E8"/>
    <w:rsid w:val="1DF62320"/>
    <w:rsid w:val="1E3B9011"/>
    <w:rsid w:val="1F53217C"/>
    <w:rsid w:val="1F66BACB"/>
    <w:rsid w:val="1FD0C6FE"/>
    <w:rsid w:val="1FF6C0D3"/>
    <w:rsid w:val="2028596D"/>
    <w:rsid w:val="2047CFCB"/>
    <w:rsid w:val="207B8A17"/>
    <w:rsid w:val="208776AE"/>
    <w:rsid w:val="20F9B767"/>
    <w:rsid w:val="20FDEA4D"/>
    <w:rsid w:val="222ECEE4"/>
    <w:rsid w:val="22609379"/>
    <w:rsid w:val="227B8C26"/>
    <w:rsid w:val="230C2758"/>
    <w:rsid w:val="23177001"/>
    <w:rsid w:val="23B19742"/>
    <w:rsid w:val="23E1C710"/>
    <w:rsid w:val="242C57DB"/>
    <w:rsid w:val="243F02B9"/>
    <w:rsid w:val="24871084"/>
    <w:rsid w:val="25022495"/>
    <w:rsid w:val="25787C93"/>
    <w:rsid w:val="258FF506"/>
    <w:rsid w:val="25C30B07"/>
    <w:rsid w:val="2625FA73"/>
    <w:rsid w:val="26B5C907"/>
    <w:rsid w:val="26C1E932"/>
    <w:rsid w:val="26C2F970"/>
    <w:rsid w:val="26C56BC2"/>
    <w:rsid w:val="275190A9"/>
    <w:rsid w:val="2786EB69"/>
    <w:rsid w:val="279507F7"/>
    <w:rsid w:val="27CCB109"/>
    <w:rsid w:val="283E8461"/>
    <w:rsid w:val="289BB224"/>
    <w:rsid w:val="28A54A0C"/>
    <w:rsid w:val="28C44E9F"/>
    <w:rsid w:val="292ED679"/>
    <w:rsid w:val="2961EAD9"/>
    <w:rsid w:val="2968AE52"/>
    <w:rsid w:val="297F682C"/>
    <w:rsid w:val="29AF8BAD"/>
    <w:rsid w:val="2A1D2095"/>
    <w:rsid w:val="2AE75E7E"/>
    <w:rsid w:val="2B10EA9E"/>
    <w:rsid w:val="2B124BF9"/>
    <w:rsid w:val="2B1622CF"/>
    <w:rsid w:val="2B21C5AE"/>
    <w:rsid w:val="2B88539C"/>
    <w:rsid w:val="2C98FA7E"/>
    <w:rsid w:val="2D3D13B3"/>
    <w:rsid w:val="2D9669E8"/>
    <w:rsid w:val="2DF7A6B6"/>
    <w:rsid w:val="2F688412"/>
    <w:rsid w:val="2F9CD202"/>
    <w:rsid w:val="2FCDAD78"/>
    <w:rsid w:val="2FE7EC85"/>
    <w:rsid w:val="3024AA5F"/>
    <w:rsid w:val="308ACDB8"/>
    <w:rsid w:val="30AD7E08"/>
    <w:rsid w:val="328A250C"/>
    <w:rsid w:val="32915D94"/>
    <w:rsid w:val="32ED8EB1"/>
    <w:rsid w:val="32FE4AFF"/>
    <w:rsid w:val="33318351"/>
    <w:rsid w:val="3458503C"/>
    <w:rsid w:val="3474EC9B"/>
    <w:rsid w:val="34AF5EE1"/>
    <w:rsid w:val="34BA009C"/>
    <w:rsid w:val="351DAAB0"/>
    <w:rsid w:val="35645356"/>
    <w:rsid w:val="358781ED"/>
    <w:rsid w:val="3593FA50"/>
    <w:rsid w:val="35B6C0A4"/>
    <w:rsid w:val="35CD8CD7"/>
    <w:rsid w:val="363FF7AD"/>
    <w:rsid w:val="36641813"/>
    <w:rsid w:val="366DA90B"/>
    <w:rsid w:val="367209BA"/>
    <w:rsid w:val="375E539C"/>
    <w:rsid w:val="376397AB"/>
    <w:rsid w:val="37754122"/>
    <w:rsid w:val="37754174"/>
    <w:rsid w:val="37AA9D96"/>
    <w:rsid w:val="38038D76"/>
    <w:rsid w:val="386DD5CA"/>
    <w:rsid w:val="3A0FF544"/>
    <w:rsid w:val="3A78D201"/>
    <w:rsid w:val="3B6B4334"/>
    <w:rsid w:val="3C797ECB"/>
    <w:rsid w:val="3C9B5059"/>
    <w:rsid w:val="3CD92863"/>
    <w:rsid w:val="3D07CCA5"/>
    <w:rsid w:val="3EF0CC0D"/>
    <w:rsid w:val="3F0085FF"/>
    <w:rsid w:val="3F00E485"/>
    <w:rsid w:val="3F31D36D"/>
    <w:rsid w:val="3F711E31"/>
    <w:rsid w:val="3FBFDBA5"/>
    <w:rsid w:val="401A73CE"/>
    <w:rsid w:val="40A85800"/>
    <w:rsid w:val="41381296"/>
    <w:rsid w:val="414DF2BC"/>
    <w:rsid w:val="4213C9EC"/>
    <w:rsid w:val="424561DB"/>
    <w:rsid w:val="424C38E1"/>
    <w:rsid w:val="427EC174"/>
    <w:rsid w:val="4291A556"/>
    <w:rsid w:val="42C186B8"/>
    <w:rsid w:val="430A072A"/>
    <w:rsid w:val="431DD344"/>
    <w:rsid w:val="43B2C066"/>
    <w:rsid w:val="43E00422"/>
    <w:rsid w:val="43EDF621"/>
    <w:rsid w:val="44FC539A"/>
    <w:rsid w:val="454CB2F3"/>
    <w:rsid w:val="461D6C1C"/>
    <w:rsid w:val="46620E1F"/>
    <w:rsid w:val="46D66C1F"/>
    <w:rsid w:val="4704AA83"/>
    <w:rsid w:val="474FCBFA"/>
    <w:rsid w:val="4964783D"/>
    <w:rsid w:val="4987FE13"/>
    <w:rsid w:val="49978E62"/>
    <w:rsid w:val="49C137D7"/>
    <w:rsid w:val="4A6D03AB"/>
    <w:rsid w:val="4A993D06"/>
    <w:rsid w:val="4B2FB5CD"/>
    <w:rsid w:val="4B3CF098"/>
    <w:rsid w:val="4B7DDFE2"/>
    <w:rsid w:val="4B915906"/>
    <w:rsid w:val="4C0BD0EA"/>
    <w:rsid w:val="4C4C9D50"/>
    <w:rsid w:val="4CEDE734"/>
    <w:rsid w:val="4D4F7EAA"/>
    <w:rsid w:val="4EDC4A9B"/>
    <w:rsid w:val="4EF9A651"/>
    <w:rsid w:val="4F279117"/>
    <w:rsid w:val="4F8FF500"/>
    <w:rsid w:val="504BE5DA"/>
    <w:rsid w:val="51483FD5"/>
    <w:rsid w:val="519C4713"/>
    <w:rsid w:val="526ECB7D"/>
    <w:rsid w:val="52759A74"/>
    <w:rsid w:val="528F1B94"/>
    <w:rsid w:val="52BC27B6"/>
    <w:rsid w:val="52DF3550"/>
    <w:rsid w:val="52EA7E90"/>
    <w:rsid w:val="53066A3B"/>
    <w:rsid w:val="53540F0B"/>
    <w:rsid w:val="5497E5CE"/>
    <w:rsid w:val="569E51E8"/>
    <w:rsid w:val="56C46880"/>
    <w:rsid w:val="56DACF9C"/>
    <w:rsid w:val="57010F43"/>
    <w:rsid w:val="577B58FD"/>
    <w:rsid w:val="5793FBF2"/>
    <w:rsid w:val="5797AE19"/>
    <w:rsid w:val="57C23ACF"/>
    <w:rsid w:val="5804B574"/>
    <w:rsid w:val="5827EB82"/>
    <w:rsid w:val="584CEB60"/>
    <w:rsid w:val="58A56B25"/>
    <w:rsid w:val="590B318F"/>
    <w:rsid w:val="59651903"/>
    <w:rsid w:val="5975BC64"/>
    <w:rsid w:val="5977440B"/>
    <w:rsid w:val="5993E834"/>
    <w:rsid w:val="59EF3060"/>
    <w:rsid w:val="5A24B7CD"/>
    <w:rsid w:val="5A2DE5B6"/>
    <w:rsid w:val="5AD090C3"/>
    <w:rsid w:val="5AECCE32"/>
    <w:rsid w:val="5B6A3F7A"/>
    <w:rsid w:val="5C16663B"/>
    <w:rsid w:val="5C190693"/>
    <w:rsid w:val="5C1EAFBD"/>
    <w:rsid w:val="5C21EA14"/>
    <w:rsid w:val="5D67E297"/>
    <w:rsid w:val="5D87E269"/>
    <w:rsid w:val="5DD263CC"/>
    <w:rsid w:val="5DDE3ACE"/>
    <w:rsid w:val="5E517E21"/>
    <w:rsid w:val="5E73A9D5"/>
    <w:rsid w:val="5EAE9177"/>
    <w:rsid w:val="5EBB79FD"/>
    <w:rsid w:val="5EFE8A48"/>
    <w:rsid w:val="5F3D3CCA"/>
    <w:rsid w:val="5F5D37F6"/>
    <w:rsid w:val="5FEFF42B"/>
    <w:rsid w:val="600855BD"/>
    <w:rsid w:val="60090FF0"/>
    <w:rsid w:val="614AD264"/>
    <w:rsid w:val="61EDF327"/>
    <w:rsid w:val="62DDD967"/>
    <w:rsid w:val="62E2BDCE"/>
    <w:rsid w:val="63199F70"/>
    <w:rsid w:val="6347ACE0"/>
    <w:rsid w:val="63578AD9"/>
    <w:rsid w:val="636FC5DE"/>
    <w:rsid w:val="6424395E"/>
    <w:rsid w:val="644026EC"/>
    <w:rsid w:val="649E610F"/>
    <w:rsid w:val="64C1475E"/>
    <w:rsid w:val="64D85589"/>
    <w:rsid w:val="655F2C06"/>
    <w:rsid w:val="658FDE14"/>
    <w:rsid w:val="65BEBE78"/>
    <w:rsid w:val="65F82ED8"/>
    <w:rsid w:val="6675BC70"/>
    <w:rsid w:val="66791576"/>
    <w:rsid w:val="66BC8D9F"/>
    <w:rsid w:val="6700B030"/>
    <w:rsid w:val="67771FA8"/>
    <w:rsid w:val="68CEAD94"/>
    <w:rsid w:val="690E6B0F"/>
    <w:rsid w:val="69567BF5"/>
    <w:rsid w:val="69E6838F"/>
    <w:rsid w:val="69F13AFD"/>
    <w:rsid w:val="69F256DE"/>
    <w:rsid w:val="6A17802E"/>
    <w:rsid w:val="6A188E15"/>
    <w:rsid w:val="6A92D0AB"/>
    <w:rsid w:val="6B29A5B7"/>
    <w:rsid w:val="6B65A6BF"/>
    <w:rsid w:val="6C21F003"/>
    <w:rsid w:val="6C62D02F"/>
    <w:rsid w:val="6D3954C9"/>
    <w:rsid w:val="6DA4D230"/>
    <w:rsid w:val="6DAB84B4"/>
    <w:rsid w:val="6DAF81B5"/>
    <w:rsid w:val="6F45F064"/>
    <w:rsid w:val="70096A75"/>
    <w:rsid w:val="7011DB70"/>
    <w:rsid w:val="701DFA63"/>
    <w:rsid w:val="709E5634"/>
    <w:rsid w:val="71A68C92"/>
    <w:rsid w:val="71ACB30B"/>
    <w:rsid w:val="71DF6C7C"/>
    <w:rsid w:val="7234B8BE"/>
    <w:rsid w:val="725D09DB"/>
    <w:rsid w:val="732C9243"/>
    <w:rsid w:val="739207EF"/>
    <w:rsid w:val="743DBBC2"/>
    <w:rsid w:val="7492D371"/>
    <w:rsid w:val="75340CC8"/>
    <w:rsid w:val="756656F9"/>
    <w:rsid w:val="757C6D71"/>
    <w:rsid w:val="7603467D"/>
    <w:rsid w:val="7607A0BC"/>
    <w:rsid w:val="761FAF14"/>
    <w:rsid w:val="7713D0A1"/>
    <w:rsid w:val="776A9917"/>
    <w:rsid w:val="779A20CB"/>
    <w:rsid w:val="779E0A2F"/>
    <w:rsid w:val="782413B7"/>
    <w:rsid w:val="787EB631"/>
    <w:rsid w:val="78EBA7A5"/>
    <w:rsid w:val="7911E7ED"/>
    <w:rsid w:val="7980BD92"/>
    <w:rsid w:val="799E661B"/>
    <w:rsid w:val="7AC4E04A"/>
    <w:rsid w:val="7BCBCC58"/>
    <w:rsid w:val="7C04041D"/>
    <w:rsid w:val="7D3238F3"/>
    <w:rsid w:val="7D7F0DA7"/>
    <w:rsid w:val="7E070E99"/>
    <w:rsid w:val="7EA5E5B9"/>
    <w:rsid w:val="7F0B1BAD"/>
    <w:rsid w:val="7F0E22BC"/>
    <w:rsid w:val="7F7B0F71"/>
    <w:rsid w:val="7F7C8F0E"/>
    <w:rsid w:val="7FD24025"/>
    <w:rsid w:val="7FE35C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2F2B"/>
  <w15:docId w15:val="{7DD6FAD0-6CB6-4AAA-B198-16047B11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0"/>
      <w:jc w:val="both"/>
      <w:outlineLvl w:val="0"/>
    </w:pPr>
    <w:rPr>
      <w:rFonts w:ascii="Cambria" w:eastAsia="Cambria" w:hAnsi="Cambria" w:cs="Cambria"/>
      <w:b/>
      <w:color w:val="366091"/>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qFormat/>
    <w:pPr>
      <w:spacing w:after="160" w:line="240" w:lineRule="auto"/>
    </w:pPr>
    <w:rPr>
      <w:rFonts w:asciiTheme="minorHAnsi" w:eastAsia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qFormat/>
    <w:pPr>
      <w:spacing w:after="200"/>
    </w:pPr>
    <w:rPr>
      <w:rFonts w:ascii="Calibri" w:eastAsia="Calibri" w:hAnsi="Calibri" w:cs="Calibri"/>
      <w:b/>
      <w:bCs/>
      <w:kern w:val="0"/>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4">
    <w:name w:val="4"/>
    <w:basedOn w:val="TableNormal"/>
    <w:qFormat/>
    <w:tblPr/>
  </w:style>
  <w:style w:type="table" w:customStyle="1" w:styleId="3">
    <w:name w:val="3"/>
    <w:basedOn w:val="TableNormal"/>
    <w:qFormat/>
    <w:tblPr>
      <w:tblCellMar>
        <w:left w:w="115" w:type="dxa"/>
        <w:right w:w="115" w:type="dxa"/>
      </w:tblCellMar>
    </w:tbl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2">
    <w:name w:val="2"/>
    <w:basedOn w:val="TableNormal"/>
    <w:qFormat/>
    <w:tblPr>
      <w:tblCellMar>
        <w:left w:w="115" w:type="dxa"/>
        <w:right w:w="115" w:type="dxa"/>
      </w:tblCellMar>
    </w:tblPr>
  </w:style>
  <w:style w:type="table" w:customStyle="1" w:styleId="1">
    <w:name w:val="1"/>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sz w:val="20"/>
      <w:szCs w:val="20"/>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 w:val="20"/>
      <w:szCs w:val="20"/>
      <w14:ligatures w14:val="standardContextual"/>
    </w:rPr>
  </w:style>
  <w:style w:type="paragraph" w:customStyle="1" w:styleId="Revision1">
    <w:name w:val="Revision1"/>
    <w:hidden/>
    <w:uiPriority w:val="99"/>
    <w:semiHidden/>
    <w:qFormat/>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basedOn w:val="Normal"/>
    <w:uiPriority w:val="1"/>
    <w:qFormat/>
    <w:rPr>
      <w:rFonts w:ascii="Arial" w:eastAsia="Arial" w:hAnsi="Arial" w:cs="Arial"/>
    </w:rPr>
  </w:style>
  <w:style w:type="paragraph" w:customStyle="1" w:styleId="JubaARPBody">
    <w:name w:val="JubaARPBody"/>
    <w:basedOn w:val="Normal"/>
    <w:next w:val="Normal"/>
    <w:qFormat/>
    <w:pPr>
      <w:spacing w:before="120" w:after="120" w:line="240" w:lineRule="auto"/>
      <w:jc w:val="both"/>
    </w:pPr>
    <w:rPr>
      <w:rFonts w:ascii="Gill Sans MT" w:eastAsia="Times New Roman" w:hAnsi="Gill Sans MT" w:cs="Times New Roman"/>
      <w:sz w:val="24"/>
      <w:szCs w:val="24"/>
    </w:rPr>
  </w:style>
  <w:style w:type="character" w:styleId="UnresolvedMention">
    <w:name w:val="Unresolved Mention"/>
    <w:basedOn w:val="DefaultParagraphFont"/>
    <w:uiPriority w:val="99"/>
    <w:semiHidden/>
    <w:unhideWhenUsed/>
    <w:rsid w:val="00F0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ercycorps.org/who-we-are/ethics-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pr@mercycorps.org" TargetMode="External"/><Relationship Id="rId2" Type="http://schemas.openxmlformats.org/officeDocument/2006/relationships/customXml" Target="../customXml/item2.xml"/><Relationship Id="rId16" Type="http://schemas.openxmlformats.org/officeDocument/2006/relationships/hyperlink" Target="https://www.mercycorps.org/who-we-are/ethics-poli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mercycorps.org/who-we-are/ethics-polici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ercycorps.org/who-we-are/ethics-polic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bmp"/></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91ebad0e-cd6a-4949-ab4b-169109c6a76f" xsi:nil="true"/>
    <TaxCatchAll xmlns="91ebad0e-cd6a-4949-ab4b-169109c6a76f" xsi:nil="true"/>
    <j2a9a8ad80ca4714ac6766a86436a866 xmlns="91ebad0e-cd6a-4949-ab4b-169109c6a76f">
      <Terms xmlns="http://schemas.microsoft.com/office/infopath/2007/PartnerControls"/>
    </j2a9a8ad80ca4714ac6766a86436a866>
  </documentManagement>
</p:properti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d5105f9-52a3-44ab-ac7b-ddd7eac5592c" ContentTypeId="0x01010031425035C37F2C46945781267109EB0B" PreviousValue="false" LastSyncTimeStamp="2024-04-03T18:45:52.58Z"/>
</file>

<file path=customXml/item5.xml><?xml version="1.0" encoding="utf-8"?>
<ct:contentTypeSchema xmlns:ct="http://schemas.microsoft.com/office/2006/metadata/contentType" xmlns:ma="http://schemas.microsoft.com/office/2006/metadata/properties/metaAttributes" ct:_="" ma:_="" ma:contentTypeName="Program Management Output Document" ma:contentTypeID="0x01010031425035C37F2C46945781267109EB0B00934E34723F6E884EB8ECE164C3C904D6" ma:contentTypeVersion="4" ma:contentTypeDescription="A Program Management Output Document is a document that is required to meet one of Mercy Corps' Program Management Policy Minimum Standard Outputs." ma:contentTypeScope="" ma:versionID="356e8705d2136751486f4ae9b553d5c0">
  <xsd:schema xmlns:xsd="http://www.w3.org/2001/XMLSchema" xmlns:xs="http://www.w3.org/2001/XMLSchema" xmlns:p="http://schemas.microsoft.com/office/2006/metadata/properties" xmlns:ns2="91ebad0e-cd6a-4949-ab4b-169109c6a76f" targetNamespace="http://schemas.microsoft.com/office/2006/metadata/properties" ma:root="true" ma:fieldsID="293d621722aa1024e356d5b1097ee6da" ns2:_="">
    <xsd:import namespace="91ebad0e-cd6a-4949-ab4b-169109c6a76f"/>
    <xsd:element name="properties">
      <xsd:complexType>
        <xsd:sequence>
          <xsd:element name="documentManagement">
            <xsd:complexType>
              <xsd:all>
                <xsd:element ref="ns2:Document_x0020_Status" minOccurs="0"/>
                <xsd:element ref="ns2:TaxCatchAll" minOccurs="0"/>
                <xsd:element ref="ns2:TaxCatchAllLabel" minOccurs="0"/>
                <xsd:element ref="ns2:j2a9a8ad80ca4714ac6766a86436a8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ad0e-cd6a-4949-ab4b-169109c6a76f"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internalName="Document_x0020_Status" ma:readOnly="false">
      <xsd:simpleType>
        <xsd:restriction base="dms:Choice">
          <xsd:enumeration value="Blank Template"/>
          <xsd:enumeration value="Draft"/>
          <xsd:enumeration value="Needs Revision"/>
          <xsd:enumeration value="Final"/>
          <xsd:enumeration value="Live"/>
          <xsd:enumeration value="Expired"/>
        </xsd:restriction>
      </xsd:simpleType>
    </xsd:element>
    <xsd:element name="TaxCatchAll" ma:index="5" nillable="true" ma:displayName="Taxonomy Catch All Column" ma:hidden="true" ma:list="{99d26c85-ea3f-4011-ace8-67ee1ca37f95}" ma:internalName="TaxCatchAll" ma:showField="CatchAllData"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9d26c85-ea3f-4011-ace8-67ee1ca37f95}" ma:internalName="TaxCatchAllLabel" ma:readOnly="true" ma:showField="CatchAllDataLabel"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j2a9a8ad80ca4714ac6766a86436a866" ma:index="10" nillable="true" ma:taxonomy="true" ma:internalName="j2a9a8ad80ca4714ac6766a86436a866" ma:taxonomyFieldName="Output" ma:displayName="Output" ma:readOnly="false" ma:default="" ma:fieldId="{32a9a8ad-80ca-4714-ac67-66a86436a866}" ma:taxonomyMulti="true" ma:sspId="fd5105f9-52a3-44ab-ac7b-ddd7eac5592c" ma:termSetId="1e1c10e8-aa6d-4770-b672-c9773be1f3a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QzNGUSGnbxRJlCutQp6DOw7FQ==">CgMxLjA4AHIhMWplejFBSUJuMFpRTFRkWkFXX1o3WHJqR3JzQ2FtWE9P</go:docsCustomData>
</go:gDocsCustomXmlDataStorage>
</file>

<file path=customXml/itemProps1.xml><?xml version="1.0" encoding="utf-8"?>
<ds:datastoreItem xmlns:ds="http://schemas.openxmlformats.org/officeDocument/2006/customXml" ds:itemID="{A63999B2-E7AE-45F6-8855-46C61AE3DCF2}">
  <ds:schemaRefs>
    <ds:schemaRef ds:uri="http://schemas.microsoft.com/office/2006/metadata/properties"/>
    <ds:schemaRef ds:uri="http://schemas.microsoft.com/office/infopath/2007/PartnerControls"/>
    <ds:schemaRef ds:uri="91ebad0e-cd6a-4949-ab4b-169109c6a76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482BA9-FA0D-40AC-BDBA-EA3D57FB95E7}">
  <ds:schemaRefs>
    <ds:schemaRef ds:uri="http://schemas.microsoft.com/sharepoint/v3/contenttype/forms"/>
  </ds:schemaRefs>
</ds:datastoreItem>
</file>

<file path=customXml/itemProps4.xml><?xml version="1.0" encoding="utf-8"?>
<ds:datastoreItem xmlns:ds="http://schemas.openxmlformats.org/officeDocument/2006/customXml" ds:itemID="{03A5385E-85D0-4175-9683-6D833A6714BE}">
  <ds:schemaRefs>
    <ds:schemaRef ds:uri="Microsoft.SharePoint.Taxonomy.ContentTypeSync"/>
  </ds:schemaRefs>
</ds:datastoreItem>
</file>

<file path=customXml/itemProps5.xml><?xml version="1.0" encoding="utf-8"?>
<ds:datastoreItem xmlns:ds="http://schemas.openxmlformats.org/officeDocument/2006/customXml" ds:itemID="{F6020E18-3136-434C-BFD0-990C8EDA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ad0e-cd6a-4949-ab4b-169109c6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2236</Words>
  <Characters>12748</Characters>
  <Application>Microsoft Office Word</Application>
  <DocSecurity>0</DocSecurity>
  <Lines>106</Lines>
  <Paragraphs>29</Paragraphs>
  <ScaleCrop>false</ScaleCrop>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tkipruto@mercycorps.org</dc:creator>
  <cp:lastModifiedBy>Nelson Juma</cp:lastModifiedBy>
  <cp:revision>2</cp:revision>
  <dcterms:created xsi:type="dcterms:W3CDTF">2026-02-02T14:45:00Z</dcterms:created>
  <dcterms:modified xsi:type="dcterms:W3CDTF">2026-02-02T14:45:00Z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0x01010031425035C37F2C46945781267109EB0B00934E34723F6E884EB8ECE164C3C904D6</vt:lpwstr>
  </property>
  <property fmtid="{D5CDD505-2E9C-101B-9397-08002B2CF9AE}" pid="3" name="MediaServiceImageTags">
    <vt:lpwstr/>
  </property>
  <property fmtid="{D5CDD505-2E9C-101B-9397-08002B2CF9AE}" pid="4" name="lcf76f155ced4ddcb4097134ff3c332f">
    <vt:lpwstr/>
  </property>
  <property fmtid="{D5CDD505-2E9C-101B-9397-08002B2CF9AE}" pid="5" name="Output">
    <vt:lpwstr/>
  </property>
  <property fmtid="{D5CDD505-2E9C-101B-9397-08002B2CF9AE}" pid="6" name="KSOProductBuildVer">
    <vt:lpwstr>1033-12.9.0.21549</vt:lpwstr>
  </property>
  <property fmtid="{D5CDD505-2E9C-101B-9397-08002B2CF9AE}" pid="7" name="ICV">
    <vt:lpwstr>0023CB2B82B24E6E83615D551FD6B8E2_13</vt:lpwstr>
  </property>
</Properties>
</file>