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14" w:rsidRDefault="00B61A14" w:rsidP="00B61A14">
      <w:pPr>
        <w:autoSpaceDE w:val="0"/>
        <w:autoSpaceDN w:val="0"/>
        <w:adjustRightInd w:val="0"/>
        <w:spacing w:line="240" w:lineRule="auto"/>
        <w:rPr>
          <w:rFonts w:ascii="Times New Roman" w:hAnsi="Times New Roman"/>
          <w:sz w:val="24"/>
          <w:lang w:val="en-GB" w:eastAsia="de-DE"/>
        </w:rPr>
      </w:pPr>
      <w:bookmarkStart w:id="0" w:name="_GoBack"/>
      <w:bookmarkEnd w:id="0"/>
      <w:r>
        <w:rPr>
          <w:rFonts w:ascii="Times New Roman" w:hAnsi="Times New Roman"/>
          <w:sz w:val="24"/>
          <w:lang w:val="en-GB" w:eastAsia="de-DE"/>
        </w:rPr>
        <w:t>Bill of Quantities f</w:t>
      </w:r>
      <w:r w:rsidRPr="000D644F">
        <w:rPr>
          <w:rFonts w:ascii="Times New Roman" w:hAnsi="Times New Roman"/>
          <w:sz w:val="24"/>
          <w:lang w:val="en-GB" w:eastAsia="de-DE"/>
        </w:rPr>
        <w:t xml:space="preserve">or </w:t>
      </w:r>
      <w:r>
        <w:rPr>
          <w:rFonts w:ascii="Times New Roman" w:hAnsi="Times New Roman"/>
          <w:sz w:val="24"/>
          <w:lang w:val="en-GB" w:eastAsia="de-DE"/>
        </w:rPr>
        <w:t>r</w:t>
      </w:r>
      <w:r w:rsidRPr="000D644F">
        <w:rPr>
          <w:rFonts w:ascii="Times New Roman" w:hAnsi="Times New Roman"/>
          <w:sz w:val="24"/>
          <w:lang w:val="en-GB" w:eastAsia="de-DE"/>
        </w:rPr>
        <w:t>enovation of TB ward and External Washroom facilities at Yei Civil Hospital in Yei Town</w:t>
      </w:r>
    </w:p>
    <w:p w:rsidR="00B61A14" w:rsidRDefault="00B61A14" w:rsidP="00B61A14">
      <w:pPr>
        <w:autoSpaceDE w:val="0"/>
        <w:autoSpaceDN w:val="0"/>
        <w:adjustRightInd w:val="0"/>
        <w:spacing w:line="240" w:lineRule="auto"/>
        <w:rPr>
          <w:rFonts w:ascii="Times New Roman" w:hAnsi="Times New Roman"/>
          <w:sz w:val="24"/>
          <w:lang w:val="en-GB" w:eastAsia="de-DE"/>
        </w:rPr>
      </w:pPr>
    </w:p>
    <w:tbl>
      <w:tblPr>
        <w:tblW w:w="10772" w:type="dxa"/>
        <w:tblInd w:w="113" w:type="dxa"/>
        <w:tblLook w:val="04A0" w:firstRow="1" w:lastRow="0" w:firstColumn="1" w:lastColumn="0" w:noHBand="0" w:noVBand="1"/>
      </w:tblPr>
      <w:tblGrid>
        <w:gridCol w:w="636"/>
        <w:gridCol w:w="5366"/>
        <w:gridCol w:w="990"/>
        <w:gridCol w:w="1170"/>
        <w:gridCol w:w="1170"/>
        <w:gridCol w:w="1440"/>
      </w:tblGrid>
      <w:tr w:rsidR="0047219E" w:rsidRPr="006A2150" w:rsidTr="0047219E">
        <w:trPr>
          <w:trHeight w:val="630"/>
        </w:trPr>
        <w:tc>
          <w:tcPr>
            <w:tcW w:w="636" w:type="dxa"/>
            <w:tcBorders>
              <w:top w:val="single" w:sz="4" w:space="0" w:color="auto"/>
              <w:left w:val="single" w:sz="4" w:space="0" w:color="auto"/>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No.</w:t>
            </w:r>
          </w:p>
        </w:tc>
        <w:tc>
          <w:tcPr>
            <w:tcW w:w="5366" w:type="dxa"/>
            <w:tcBorders>
              <w:top w:val="single" w:sz="4" w:space="0" w:color="auto"/>
              <w:left w:val="nil"/>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Item</w:t>
            </w:r>
          </w:p>
        </w:tc>
        <w:tc>
          <w:tcPr>
            <w:tcW w:w="990" w:type="dxa"/>
            <w:tcBorders>
              <w:top w:val="single" w:sz="4" w:space="0" w:color="auto"/>
              <w:left w:val="nil"/>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Unit</w:t>
            </w:r>
          </w:p>
        </w:tc>
        <w:tc>
          <w:tcPr>
            <w:tcW w:w="1170" w:type="dxa"/>
            <w:tcBorders>
              <w:top w:val="single" w:sz="4" w:space="0" w:color="auto"/>
              <w:left w:val="nil"/>
              <w:bottom w:val="single" w:sz="4" w:space="0" w:color="auto"/>
              <w:right w:val="single" w:sz="4" w:space="0" w:color="auto"/>
            </w:tcBorders>
            <w:shd w:val="clear" w:color="000000" w:fill="BFBFBF"/>
          </w:tcPr>
          <w:p w:rsidR="0047219E" w:rsidRPr="006A2150" w:rsidRDefault="0047219E" w:rsidP="0047219E">
            <w:pPr>
              <w:spacing w:line="240" w:lineRule="auto"/>
              <w:rPr>
                <w:rFonts w:ascii="Times New Roman" w:eastAsia="Times New Roman" w:hAnsi="Times New Roman"/>
                <w:b/>
                <w:bCs/>
                <w:color w:val="000000"/>
                <w:sz w:val="24"/>
              </w:rPr>
            </w:pPr>
            <w:r>
              <w:rPr>
                <w:rFonts w:ascii="Times New Roman" w:eastAsia="Times New Roman" w:hAnsi="Times New Roman"/>
                <w:b/>
                <w:bCs/>
                <w:color w:val="000000"/>
                <w:sz w:val="24"/>
              </w:rPr>
              <w:t>Qty</w:t>
            </w:r>
          </w:p>
        </w:tc>
        <w:tc>
          <w:tcPr>
            <w:tcW w:w="1170" w:type="dxa"/>
            <w:tcBorders>
              <w:top w:val="single" w:sz="4" w:space="0" w:color="auto"/>
              <w:left w:val="single" w:sz="4" w:space="0" w:color="auto"/>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Unit rate (USD)</w:t>
            </w:r>
          </w:p>
        </w:tc>
        <w:tc>
          <w:tcPr>
            <w:tcW w:w="1440" w:type="dxa"/>
            <w:tcBorders>
              <w:top w:val="single" w:sz="4" w:space="0" w:color="auto"/>
              <w:left w:val="nil"/>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Amount (USD)</w:t>
            </w:r>
          </w:p>
        </w:tc>
      </w:tr>
      <w:tr w:rsidR="0047219E" w:rsidRPr="006A2150" w:rsidTr="0047219E">
        <w:trPr>
          <w:trHeight w:val="390"/>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b/>
                <w:bCs/>
                <w:color w:val="000000"/>
                <w:sz w:val="24"/>
              </w:rPr>
            </w:pPr>
            <w:r w:rsidRPr="006A2150">
              <w:rPr>
                <w:rFonts w:ascii="Times New Roman" w:eastAsia="Times New Roman" w:hAnsi="Times New Roman"/>
                <w:b/>
                <w:bCs/>
                <w:color w:val="000000"/>
                <w:sz w:val="24"/>
              </w:rPr>
              <w:t>1</w:t>
            </w:r>
          </w:p>
        </w:tc>
        <w:tc>
          <w:tcPr>
            <w:tcW w:w="5366"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Contractors general obligation</w:t>
            </w:r>
          </w:p>
        </w:tc>
        <w:tc>
          <w:tcPr>
            <w:tcW w:w="990"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1.1</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Preconstruction,</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 xml:space="preserve">mobilization and demobilization </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Lump  sum</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359"/>
        </w:trPr>
        <w:tc>
          <w:tcPr>
            <w:tcW w:w="636"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Sub-total 1</w:t>
            </w:r>
          </w:p>
        </w:tc>
        <w:tc>
          <w:tcPr>
            <w:tcW w:w="99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F2F2F2"/>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r w:rsidR="0047219E" w:rsidRPr="006A2150" w:rsidTr="0047219E">
        <w:trPr>
          <w:trHeight w:val="405"/>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b/>
                <w:bCs/>
                <w:color w:val="000000"/>
                <w:sz w:val="24"/>
              </w:rPr>
            </w:pPr>
            <w:r w:rsidRPr="006A2150">
              <w:rPr>
                <w:rFonts w:ascii="Times New Roman" w:eastAsia="Times New Roman" w:hAnsi="Times New Roman"/>
                <w:b/>
                <w:bCs/>
                <w:color w:val="000000"/>
                <w:sz w:val="24"/>
              </w:rPr>
              <w:t>2</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Site clearance, ground preparations,</w:t>
            </w:r>
            <w:r>
              <w:rPr>
                <w:rFonts w:ascii="Times New Roman" w:eastAsia="Times New Roman" w:hAnsi="Times New Roman"/>
                <w:b/>
                <w:bCs/>
                <w:color w:val="000000"/>
                <w:sz w:val="24"/>
              </w:rPr>
              <w:t xml:space="preserve"> </w:t>
            </w:r>
            <w:r w:rsidRPr="006A2150">
              <w:rPr>
                <w:rFonts w:ascii="Times New Roman" w:eastAsia="Times New Roman" w:hAnsi="Times New Roman"/>
                <w:b/>
                <w:bCs/>
                <w:color w:val="000000"/>
                <w:sz w:val="24"/>
              </w:rPr>
              <w:t>removal Collapsed roof and Ceiling</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xml:space="preserve"> </w:t>
            </w:r>
          </w:p>
        </w:tc>
      </w:tr>
      <w:tr w:rsidR="0047219E" w:rsidRPr="006A2150" w:rsidTr="0047219E">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2.1</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Site clearance and disposal of all waste materials arising from clearing</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625</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647"/>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2.2</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xml:space="preserve">Removal of the existing collapsed roof and concrete ceiling ,sorting the waste materials </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300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Sub-total 2</w:t>
            </w:r>
          </w:p>
        </w:tc>
        <w:tc>
          <w:tcPr>
            <w:tcW w:w="99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F2F2F2"/>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b/>
                <w:bCs/>
                <w:color w:val="000000"/>
                <w:sz w:val="24"/>
              </w:rPr>
            </w:pPr>
            <w:r w:rsidRPr="006A2150">
              <w:rPr>
                <w:rFonts w:ascii="Times New Roman" w:eastAsia="Times New Roman" w:hAnsi="Times New Roman"/>
                <w:b/>
                <w:bCs/>
                <w:color w:val="000000"/>
                <w:sz w:val="24"/>
              </w:rPr>
              <w:t>3</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Sub-structure</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3.1</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xml:space="preserve">Excavation of  foundations footings for circular columns </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m3</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25</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863"/>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3.2</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Casting Plain  Concrete (1:2:4) to 100mm thick for the  footing base,</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all including forms works as describe in the drawing</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m3</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2.5</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43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3.3</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Casting Reinforced concrete (1:2:4) for the footing  at thickness of 30 cm, short column of  0.4 m dia, great beam (0.3 X 0.3 m)  and extension of the existing rams  all including form works and proper curing  as shown in the drawing</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m3</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7</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16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3.4</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High tensile steel bars (12mm and 8mm) including cutting bending tying,</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hooking and fixing for footing basement, short columns,</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beam and rams.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Kg</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24</w:t>
            </w:r>
            <w:r>
              <w:rPr>
                <w:rFonts w:ascii="Times New Roman" w:eastAsia="Times New Roman" w:hAnsi="Times New Roman"/>
                <w:color w:val="000000"/>
                <w:sz w:val="24"/>
              </w:rPr>
              <w:t>7</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62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3.5</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Imported marram (gravel) well spread levelled and compacted in all the footings.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m3</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11</w:t>
            </w:r>
            <w:r>
              <w:rPr>
                <w:rFonts w:ascii="Times New Roman" w:eastAsia="Times New Roman" w:hAnsi="Times New Roman"/>
                <w:color w:val="000000"/>
                <w:sz w:val="24"/>
              </w:rPr>
              <w:t>.</w:t>
            </w:r>
            <w:r w:rsidRPr="006A2150">
              <w:rPr>
                <w:rFonts w:ascii="Times New Roman" w:eastAsia="Times New Roman" w:hAnsi="Times New Roman"/>
                <w:color w:val="000000"/>
                <w:sz w:val="24"/>
              </w:rPr>
              <w:t>25</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Sub-total 3</w:t>
            </w:r>
          </w:p>
        </w:tc>
        <w:tc>
          <w:tcPr>
            <w:tcW w:w="99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F2F2F2"/>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b/>
                <w:bCs/>
                <w:color w:val="000000"/>
                <w:sz w:val="24"/>
              </w:rPr>
            </w:pPr>
            <w:r>
              <w:rPr>
                <w:rFonts w:ascii="Times New Roman" w:eastAsia="Times New Roman" w:hAnsi="Times New Roman"/>
                <w:b/>
                <w:bCs/>
                <w:color w:val="000000"/>
                <w:sz w:val="24"/>
              </w:rPr>
              <w:t>4</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Super-structure</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142"/>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4.1</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High tensile steel bars (12mm and 8mm) including cutting bending tying,</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hooking and fixing for circular columns and ring beam (0.25X0.25m).</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Kg</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23</w:t>
            </w:r>
            <w:r>
              <w:rPr>
                <w:rFonts w:ascii="Times New Roman" w:eastAsia="Times New Roman" w:hAnsi="Times New Roman"/>
                <w:color w:val="000000"/>
                <w:sz w:val="24"/>
              </w:rPr>
              <w:t>5</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89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4.2</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Casting concrete (1:2:4) to circular columns of 0.4 m diameter and ring  Beam all including forms works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m3</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6.26</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89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4.3</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Removal of collapsed  wall  and wall with major crack  and reconstruct in well burnt clay red bricks   together with   ventilation bricks.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430"/>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lastRenderedPageBreak/>
              <w:t>4.4</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Construct 200mm thick wall  on the ring beam and super-structure wall  with well burnt clay bricks/ concrete solid blocks bedded and jointed in cement sand (1:4) mortar together with ventilation brick.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single" w:sz="4" w:space="0" w:color="auto"/>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2600"/>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4.5</w:t>
            </w:r>
          </w:p>
        </w:tc>
        <w:tc>
          <w:tcPr>
            <w:tcW w:w="5366"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b/>
                <w:bCs/>
                <w:i/>
                <w:iCs/>
                <w:color w:val="000000"/>
                <w:sz w:val="24"/>
              </w:rPr>
              <w:t>Roofing</w:t>
            </w:r>
            <w:r w:rsidRPr="006A2150">
              <w:rPr>
                <w:rFonts w:ascii="Times New Roman" w:eastAsia="Times New Roman" w:hAnsi="Times New Roman"/>
                <w:b/>
                <w:bCs/>
                <w:color w:val="000000"/>
                <w:sz w:val="24"/>
              </w:rPr>
              <w:t xml:space="preserve"> </w:t>
            </w:r>
            <w:r w:rsidRPr="006A2150">
              <w:rPr>
                <w:rFonts w:ascii="Times New Roman" w:eastAsia="Times New Roman" w:hAnsi="Times New Roman"/>
                <w:color w:val="000000"/>
                <w:sz w:val="24"/>
              </w:rPr>
              <w:t xml:space="preserve">                                                                                                                                                 </w:t>
            </w:r>
            <w:r w:rsidRPr="006A2150">
              <w:rPr>
                <w:rFonts w:ascii="Times New Roman" w:eastAsia="Times New Roman" w:hAnsi="Times New Roman"/>
                <w:color w:val="000000"/>
                <w:sz w:val="24"/>
                <w:u w:val="single"/>
              </w:rPr>
              <w:t>Supply all required items</w:t>
            </w:r>
            <w:r w:rsidRPr="006A2150">
              <w:rPr>
                <w:rFonts w:ascii="Times New Roman" w:eastAsia="Times New Roman" w:hAnsi="Times New Roman"/>
                <w:color w:val="000000"/>
                <w:sz w:val="24"/>
              </w:rPr>
              <w:t xml:space="preserve"> and construct roof as per the drawing (hard timber rafter 6"X2", timber purlins 4"X2", tie beam 8X2 hard timber, Joint members 4X2 all joint are tied with metal plate and painted in wood preserver and  nailed with plastic rubber)</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timber facia boards 9"X1" including painting, preprinted corrugated roofing sheets gauge 28) as details in the drawing</w:t>
            </w:r>
          </w:p>
        </w:tc>
        <w:tc>
          <w:tcPr>
            <w:tcW w:w="990"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Sub-total 4</w:t>
            </w:r>
          </w:p>
        </w:tc>
        <w:tc>
          <w:tcPr>
            <w:tcW w:w="99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F2F2F2"/>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b/>
                <w:bCs/>
                <w:color w:val="000000"/>
                <w:sz w:val="24"/>
              </w:rPr>
            </w:pPr>
            <w:r w:rsidRPr="006A2150">
              <w:rPr>
                <w:rFonts w:ascii="Times New Roman" w:eastAsia="Times New Roman" w:hAnsi="Times New Roman"/>
                <w:b/>
                <w:bCs/>
                <w:color w:val="000000"/>
                <w:sz w:val="24"/>
              </w:rPr>
              <w:t>5</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Finishes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5.1</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Internal and external plastering 13mm thick with 1:4 cement sand mortar</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120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881"/>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5.2</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Rendering/ smoothing concrete floor and aproned  with cement then painted for the ward, external latrine and the bathing rooms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470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808"/>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5.3</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b/>
                <w:bCs/>
                <w:i/>
                <w:iCs/>
                <w:color w:val="000000"/>
                <w:sz w:val="24"/>
              </w:rPr>
              <w:t xml:space="preserve">Painting  </w:t>
            </w:r>
            <w:r w:rsidRPr="006A2150">
              <w:rPr>
                <w:rFonts w:ascii="Times New Roman" w:eastAsia="Times New Roman" w:hAnsi="Times New Roman"/>
                <w:color w:val="000000"/>
                <w:sz w:val="24"/>
              </w:rPr>
              <w:t xml:space="preserve">                                                                                                                                                         Prepare surface, re- apply primer coats and three coats of plastic emulsion paint to external and internal rendered surfaces for  the wards, latrine and the bathing room (interior bathroom should be painted in oil paint) </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94</w:t>
            </w:r>
            <w:r>
              <w:rPr>
                <w:rFonts w:ascii="Times New Roman" w:eastAsia="Times New Roman" w:hAnsi="Times New Roman"/>
                <w:color w:val="000000"/>
                <w:sz w:val="24"/>
              </w:rPr>
              <w:t>5</w:t>
            </w:r>
            <w:r w:rsidRPr="006A2150">
              <w:rPr>
                <w:rFonts w:ascii="Times New Roman" w:eastAsia="Times New Roman" w:hAnsi="Times New Roman"/>
                <w:color w:val="000000"/>
                <w:sz w:val="24"/>
              </w:rPr>
              <w:t>.80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151"/>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b/>
                <w:bCs/>
                <w:color w:val="000000"/>
                <w:sz w:val="24"/>
              </w:rPr>
              <w:t xml:space="preserve">Wooden Ceiling: </w:t>
            </w:r>
            <w:r w:rsidRPr="006A2150">
              <w:rPr>
                <w:rFonts w:ascii="Times New Roman" w:eastAsia="Times New Roman" w:hAnsi="Times New Roman"/>
                <w:color w:val="000000"/>
                <w:sz w:val="24"/>
              </w:rPr>
              <w:t xml:space="preserve"> Use 3X2 hard timber from inside as support for  wooden board of 6 mm and 2x 1 for joins from the outer part then painted with emulsion  </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m2</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420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2321"/>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b/>
                <w:bCs/>
                <w:color w:val="000000"/>
                <w:sz w:val="24"/>
              </w:rPr>
              <w:t xml:space="preserve">Plumbing:  </w:t>
            </w:r>
            <w:r w:rsidRPr="006A2150">
              <w:rPr>
                <w:rFonts w:ascii="Times New Roman" w:eastAsia="Times New Roman" w:hAnsi="Times New Roman"/>
                <w:color w:val="000000"/>
                <w:sz w:val="24"/>
              </w:rPr>
              <w:t xml:space="preserve">                                                                                                                                           Revising and replacing weak and damaged plumbing connections for both water and sewage system and supplying all necessary requirements (hand washing sinks metallic and ceramic, tape etc</w:t>
            </w:r>
            <w:r>
              <w:rPr>
                <w:rFonts w:ascii="Times New Roman" w:eastAsia="Times New Roman" w:hAnsi="Times New Roman"/>
                <w:color w:val="000000"/>
                <w:sz w:val="24"/>
              </w:rPr>
              <w:t>.</w:t>
            </w:r>
            <w:r w:rsidRPr="006A2150">
              <w:rPr>
                <w:rFonts w:ascii="Times New Roman" w:eastAsia="Times New Roman" w:hAnsi="Times New Roman"/>
                <w:color w:val="000000"/>
                <w:sz w:val="24"/>
              </w:rPr>
              <w:t>) and the bathing rooms. Installation water station with 4 taps ,connect the ward to the hospital main ward distribution  and testing.</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Lump  sum</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98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b/>
                <w:bCs/>
                <w:color w:val="000000"/>
                <w:sz w:val="24"/>
              </w:rPr>
              <w:t>Electrical work</w:t>
            </w:r>
            <w:r w:rsidRPr="006A2150">
              <w:rPr>
                <w:rFonts w:ascii="Times New Roman" w:eastAsia="Times New Roman" w:hAnsi="Times New Roman"/>
                <w:color w:val="000000"/>
                <w:sz w:val="24"/>
              </w:rPr>
              <w:t xml:space="preserve">                                                                                                                                             Revising  electrical wiring, supply and install all the damaged lamps, caples, etc</w:t>
            </w:r>
            <w:r>
              <w:rPr>
                <w:rFonts w:ascii="Times New Roman" w:eastAsia="Times New Roman" w:hAnsi="Times New Roman"/>
                <w:color w:val="000000"/>
                <w:sz w:val="24"/>
              </w:rPr>
              <w:t>.</w:t>
            </w:r>
            <w:r w:rsidRPr="006A2150">
              <w:rPr>
                <w:rFonts w:ascii="Times New Roman" w:eastAsia="Times New Roman" w:hAnsi="Times New Roman"/>
                <w:color w:val="000000"/>
                <w:sz w:val="24"/>
              </w:rPr>
              <w:t xml:space="preserve"> and  testing </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Lump  sum</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Sub-total 5</w:t>
            </w:r>
          </w:p>
        </w:tc>
        <w:tc>
          <w:tcPr>
            <w:tcW w:w="99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F2F2F2"/>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b/>
                <w:bCs/>
                <w:color w:val="000000"/>
                <w:sz w:val="24"/>
              </w:rPr>
            </w:pPr>
            <w:r w:rsidRPr="006A2150">
              <w:rPr>
                <w:rFonts w:ascii="Times New Roman" w:eastAsia="Times New Roman" w:hAnsi="Times New Roman"/>
                <w:b/>
                <w:bCs/>
                <w:color w:val="000000"/>
                <w:sz w:val="24"/>
              </w:rPr>
              <w:t>6</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Fittings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151"/>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lastRenderedPageBreak/>
              <w:t>6.1</w:t>
            </w:r>
          </w:p>
        </w:tc>
        <w:tc>
          <w:tcPr>
            <w:tcW w:w="536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Repair and re- painting all the existing doors (Metallic and wooden) and fixing all the broken glasses at the metallic doors and each with new locks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No</w:t>
            </w:r>
          </w:p>
        </w:tc>
        <w:tc>
          <w:tcPr>
            <w:tcW w:w="1170" w:type="dxa"/>
            <w:tcBorders>
              <w:top w:val="single" w:sz="4" w:space="0" w:color="auto"/>
              <w:left w:val="single" w:sz="4" w:space="0" w:color="auto"/>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701"/>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6.2</w:t>
            </w:r>
          </w:p>
        </w:tc>
        <w:tc>
          <w:tcPr>
            <w:tcW w:w="5366"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xml:space="preserve">Repair all the broken glasses, mosquito mesh and re-painting all the existing windows of the ward </w:t>
            </w:r>
          </w:p>
        </w:tc>
        <w:tc>
          <w:tcPr>
            <w:tcW w:w="990"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No</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Pr>
                <w:rFonts w:ascii="Times New Roman" w:eastAsia="Times New Roman" w:hAnsi="Times New Roman"/>
                <w:color w:val="000000"/>
                <w:sz w:val="24"/>
              </w:rPr>
              <w:t>11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single" w:sz="4" w:space="0" w:color="auto"/>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250"/>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6.3</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Replacing all the doors for the</w:t>
            </w:r>
            <w:r>
              <w:rPr>
                <w:rFonts w:ascii="Times New Roman" w:eastAsia="Times New Roman" w:hAnsi="Times New Roman"/>
                <w:color w:val="000000"/>
                <w:sz w:val="24"/>
              </w:rPr>
              <w:t xml:space="preserve"> </w:t>
            </w:r>
            <w:r w:rsidRPr="006A2150">
              <w:rPr>
                <w:rFonts w:ascii="Times New Roman" w:eastAsia="Times New Roman" w:hAnsi="Times New Roman"/>
                <w:color w:val="000000"/>
                <w:sz w:val="24"/>
              </w:rPr>
              <w:t>external latrine and the bathing rooms in metallic doors including fabrication painting and installation and introducing 2 door at the entry of the toilets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No</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Pr>
                <w:rFonts w:ascii="Times New Roman" w:eastAsia="Times New Roman" w:hAnsi="Times New Roman"/>
                <w:color w:val="000000"/>
                <w:sz w:val="24"/>
              </w:rPr>
              <w:t>26</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899"/>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6.4</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Supply and install 1.5 inched dia galvanized circular hollow section hand rails at edges of the ramps</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M</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30</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448"/>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6.5</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connecting the ward with water from the hospital's main distribution using PPR 2'' pipe, introducing control chamber and repairing all the water taps, includes excavation, pipe installations, other accessories and testing.</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M</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96</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1511"/>
        </w:trPr>
        <w:tc>
          <w:tcPr>
            <w:tcW w:w="636"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jc w:val="right"/>
              <w:rPr>
                <w:rFonts w:ascii="Times New Roman" w:eastAsia="Times New Roman" w:hAnsi="Times New Roman"/>
                <w:color w:val="000000"/>
                <w:sz w:val="24"/>
              </w:rPr>
            </w:pPr>
            <w:r>
              <w:rPr>
                <w:rFonts w:ascii="Times New Roman" w:eastAsia="Times New Roman" w:hAnsi="Times New Roman"/>
                <w:color w:val="000000"/>
                <w:sz w:val="24"/>
              </w:rPr>
              <w:t>6.</w:t>
            </w:r>
            <w:r w:rsidRPr="006A2150">
              <w:rPr>
                <w:rFonts w:ascii="Times New Roman" w:eastAsia="Times New Roman" w:hAnsi="Times New Roman"/>
                <w:color w:val="000000"/>
                <w:sz w:val="24"/>
              </w:rPr>
              <w:t>6</w:t>
            </w:r>
          </w:p>
        </w:tc>
        <w:tc>
          <w:tcPr>
            <w:tcW w:w="5366"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Construct a well burnt red brick hand washing facility of height  1.2 M, length  1.5M and width of 0.6M with 2 taps connected to the water source and the waste pipe is insert in the ground ( Soak away)</w:t>
            </w:r>
          </w:p>
        </w:tc>
        <w:tc>
          <w:tcPr>
            <w:tcW w:w="99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Lump  sum</w:t>
            </w:r>
          </w:p>
        </w:tc>
        <w:tc>
          <w:tcPr>
            <w:tcW w:w="1170" w:type="dxa"/>
            <w:tcBorders>
              <w:top w:val="single" w:sz="4" w:space="0" w:color="auto"/>
              <w:left w:val="nil"/>
              <w:bottom w:val="single" w:sz="4" w:space="0" w:color="auto"/>
              <w:right w:val="single" w:sz="4" w:space="0" w:color="auto"/>
            </w:tcBorders>
          </w:tcPr>
          <w:p w:rsidR="0047219E" w:rsidRPr="006A2150" w:rsidRDefault="0047219E" w:rsidP="0047219E">
            <w:pPr>
              <w:spacing w:line="240" w:lineRule="auto"/>
              <w:jc w:val="right"/>
              <w:rPr>
                <w:rFonts w:ascii="Times New Roman" w:eastAsia="Times New Roman" w:hAnsi="Times New Roman"/>
                <w:color w:val="000000"/>
                <w:sz w:val="24"/>
              </w:rPr>
            </w:pPr>
            <w:r w:rsidRPr="006A2150">
              <w:rPr>
                <w:rFonts w:ascii="Times New Roman" w:eastAsia="Times New Roman" w:hAnsi="Times New Roman"/>
                <w:color w:val="000000"/>
                <w:sz w:val="24"/>
              </w:rPr>
              <w:t>1</w:t>
            </w:r>
          </w:p>
        </w:tc>
        <w:tc>
          <w:tcPr>
            <w:tcW w:w="1170" w:type="dxa"/>
            <w:tcBorders>
              <w:top w:val="nil"/>
              <w:left w:val="single" w:sz="4" w:space="0" w:color="auto"/>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1440" w:type="dxa"/>
            <w:tcBorders>
              <w:top w:val="nil"/>
              <w:left w:val="nil"/>
              <w:bottom w:val="single" w:sz="4" w:space="0" w:color="auto"/>
              <w:right w:val="single" w:sz="4" w:space="0" w:color="auto"/>
            </w:tcBorders>
            <w:shd w:val="clear" w:color="auto" w:fill="auto"/>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r>
      <w:tr w:rsidR="0047219E" w:rsidRPr="006A2150" w:rsidTr="0047219E">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color w:val="000000"/>
                <w:sz w:val="24"/>
              </w:rPr>
            </w:pPr>
            <w:r w:rsidRPr="006A2150">
              <w:rPr>
                <w:rFonts w:ascii="Times New Roman" w:eastAsia="Times New Roman" w:hAnsi="Times New Roman"/>
                <w:color w:val="000000"/>
                <w:sz w:val="24"/>
              </w:rPr>
              <w:t> </w:t>
            </w:r>
          </w:p>
        </w:tc>
        <w:tc>
          <w:tcPr>
            <w:tcW w:w="5366"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Sub-total 6</w:t>
            </w:r>
          </w:p>
        </w:tc>
        <w:tc>
          <w:tcPr>
            <w:tcW w:w="99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F2F2F2"/>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nil"/>
              <w:left w:val="single" w:sz="4" w:space="0" w:color="auto"/>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nil"/>
              <w:left w:val="nil"/>
              <w:bottom w:val="single" w:sz="4" w:space="0" w:color="auto"/>
              <w:right w:val="single" w:sz="4" w:space="0" w:color="auto"/>
            </w:tcBorders>
            <w:shd w:val="clear" w:color="000000" w:fill="F2F2F2"/>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r w:rsidR="0047219E" w:rsidRPr="006A2150" w:rsidTr="0047219E">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5366" w:type="dxa"/>
            <w:tcBorders>
              <w:top w:val="single" w:sz="4" w:space="0" w:color="auto"/>
              <w:left w:val="nil"/>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Grand Total</w:t>
            </w:r>
          </w:p>
        </w:tc>
        <w:tc>
          <w:tcPr>
            <w:tcW w:w="990" w:type="dxa"/>
            <w:tcBorders>
              <w:top w:val="single" w:sz="4" w:space="0" w:color="auto"/>
              <w:left w:val="nil"/>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nil"/>
              <w:bottom w:val="single" w:sz="4" w:space="0" w:color="auto"/>
              <w:right w:val="single" w:sz="4" w:space="0" w:color="auto"/>
            </w:tcBorders>
            <w:shd w:val="clear" w:color="000000" w:fill="BFBFBF"/>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170" w:type="dxa"/>
            <w:tcBorders>
              <w:top w:val="single" w:sz="4" w:space="0" w:color="auto"/>
              <w:left w:val="single" w:sz="4" w:space="0" w:color="auto"/>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c>
          <w:tcPr>
            <w:tcW w:w="1440" w:type="dxa"/>
            <w:tcBorders>
              <w:top w:val="single" w:sz="4" w:space="0" w:color="auto"/>
              <w:left w:val="nil"/>
              <w:bottom w:val="single" w:sz="4" w:space="0" w:color="auto"/>
              <w:right w:val="single" w:sz="4" w:space="0" w:color="auto"/>
            </w:tcBorders>
            <w:shd w:val="clear" w:color="000000" w:fill="BFBFBF"/>
            <w:hideMark/>
          </w:tcPr>
          <w:p w:rsidR="0047219E" w:rsidRPr="006A2150" w:rsidRDefault="0047219E" w:rsidP="0047219E">
            <w:pPr>
              <w:spacing w:line="240" w:lineRule="auto"/>
              <w:rPr>
                <w:rFonts w:ascii="Times New Roman" w:eastAsia="Times New Roman" w:hAnsi="Times New Roman"/>
                <w:b/>
                <w:bCs/>
                <w:color w:val="000000"/>
                <w:sz w:val="24"/>
              </w:rPr>
            </w:pPr>
            <w:r w:rsidRPr="006A2150">
              <w:rPr>
                <w:rFonts w:ascii="Times New Roman" w:eastAsia="Times New Roman" w:hAnsi="Times New Roman"/>
                <w:b/>
                <w:bCs/>
                <w:color w:val="000000"/>
                <w:sz w:val="24"/>
              </w:rPr>
              <w:t> </w:t>
            </w:r>
          </w:p>
        </w:tc>
      </w:tr>
    </w:tbl>
    <w:p w:rsidR="00260CA2" w:rsidRDefault="00260CA2"/>
    <w:sectPr w:rsidR="00260CA2" w:rsidSect="00B61A1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0F" w:rsidRDefault="00620D0F" w:rsidP="00B61A14">
      <w:pPr>
        <w:spacing w:line="240" w:lineRule="auto"/>
      </w:pPr>
      <w:r>
        <w:separator/>
      </w:r>
    </w:p>
  </w:endnote>
  <w:endnote w:type="continuationSeparator" w:id="0">
    <w:p w:rsidR="00620D0F" w:rsidRDefault="00620D0F" w:rsidP="00B6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w:altName w:val="Bell M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07958"/>
      <w:docPartObj>
        <w:docPartGallery w:val="Page Numbers (Bottom of Page)"/>
        <w:docPartUnique/>
      </w:docPartObj>
    </w:sdtPr>
    <w:sdtEndPr>
      <w:rPr>
        <w:noProof/>
      </w:rPr>
    </w:sdtEndPr>
    <w:sdtContent>
      <w:p w:rsidR="00B61A14" w:rsidRDefault="00B61A14">
        <w:pPr>
          <w:pStyle w:val="Footer"/>
          <w:jc w:val="right"/>
        </w:pPr>
        <w:r>
          <w:fldChar w:fldCharType="begin"/>
        </w:r>
        <w:r>
          <w:instrText xml:space="preserve"> PAGE   \* MERGEFORMAT </w:instrText>
        </w:r>
        <w:r>
          <w:fldChar w:fldCharType="separate"/>
        </w:r>
        <w:r w:rsidR="008A0869">
          <w:rPr>
            <w:noProof/>
          </w:rPr>
          <w:t>1</w:t>
        </w:r>
        <w:r>
          <w:rPr>
            <w:noProof/>
          </w:rPr>
          <w:fldChar w:fldCharType="end"/>
        </w:r>
      </w:p>
    </w:sdtContent>
  </w:sdt>
  <w:p w:rsidR="00B61A14" w:rsidRDefault="00B61A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0F" w:rsidRDefault="00620D0F" w:rsidP="00B61A14">
      <w:pPr>
        <w:spacing w:line="240" w:lineRule="auto"/>
      </w:pPr>
      <w:r>
        <w:separator/>
      </w:r>
    </w:p>
  </w:footnote>
  <w:footnote w:type="continuationSeparator" w:id="0">
    <w:p w:rsidR="00620D0F" w:rsidRDefault="00620D0F" w:rsidP="00B61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4"/>
    <w:rsid w:val="00092B3E"/>
    <w:rsid w:val="00260CA2"/>
    <w:rsid w:val="0047219E"/>
    <w:rsid w:val="004F1200"/>
    <w:rsid w:val="00620D0F"/>
    <w:rsid w:val="00636FFA"/>
    <w:rsid w:val="008A0869"/>
    <w:rsid w:val="00B61A14"/>
    <w:rsid w:val="00D1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0544D-6AC9-4F8B-96D9-34D6834D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14"/>
    <w:pPr>
      <w:spacing w:line="240" w:lineRule="exact"/>
    </w:pPr>
    <w:rPr>
      <w:rFonts w:ascii="Charter" w:eastAsia="Cambria" w:hAnsi="Chart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14"/>
    <w:pPr>
      <w:tabs>
        <w:tab w:val="center" w:pos="4680"/>
        <w:tab w:val="right" w:pos="9360"/>
      </w:tabs>
      <w:spacing w:line="240" w:lineRule="auto"/>
    </w:pPr>
  </w:style>
  <w:style w:type="character" w:customStyle="1" w:styleId="HeaderChar">
    <w:name w:val="Header Char"/>
    <w:basedOn w:val="DefaultParagraphFont"/>
    <w:link w:val="Header"/>
    <w:uiPriority w:val="99"/>
    <w:rsid w:val="00B61A14"/>
    <w:rPr>
      <w:rFonts w:ascii="Charter" w:eastAsia="Cambria" w:hAnsi="Charter" w:cs="Times New Roman"/>
      <w:sz w:val="20"/>
      <w:szCs w:val="24"/>
    </w:rPr>
  </w:style>
  <w:style w:type="paragraph" w:styleId="Footer">
    <w:name w:val="footer"/>
    <w:basedOn w:val="Normal"/>
    <w:link w:val="FooterChar"/>
    <w:uiPriority w:val="99"/>
    <w:unhideWhenUsed/>
    <w:rsid w:val="00B61A14"/>
    <w:pPr>
      <w:tabs>
        <w:tab w:val="center" w:pos="4680"/>
        <w:tab w:val="right" w:pos="9360"/>
      </w:tabs>
      <w:spacing w:line="240" w:lineRule="auto"/>
    </w:pPr>
  </w:style>
  <w:style w:type="character" w:customStyle="1" w:styleId="FooterChar">
    <w:name w:val="Footer Char"/>
    <w:basedOn w:val="DefaultParagraphFont"/>
    <w:link w:val="Footer"/>
    <w:uiPriority w:val="99"/>
    <w:rsid w:val="00B61A14"/>
    <w:rPr>
      <w:rFonts w:ascii="Charter" w:eastAsia="Cambria" w:hAnsi="Chart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2</cp:revision>
  <dcterms:created xsi:type="dcterms:W3CDTF">2019-02-26T08:36:00Z</dcterms:created>
  <dcterms:modified xsi:type="dcterms:W3CDTF">2019-02-26T08:36:00Z</dcterms:modified>
</cp:coreProperties>
</file>